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292"/>
        <w:gridCol w:w="5706"/>
      </w:tblGrid>
      <w:tr w:rsidR="0032641A" w:rsidRPr="0032641A" w:rsidTr="00280638">
        <w:trPr>
          <w:trHeight w:val="709"/>
        </w:trPr>
        <w:tc>
          <w:tcPr>
            <w:tcW w:w="3292" w:type="dxa"/>
            <w:shd w:val="clear" w:color="auto" w:fill="auto"/>
          </w:tcPr>
          <w:p w:rsidR="001674A7" w:rsidRPr="0032641A" w:rsidRDefault="001674A7" w:rsidP="00280638">
            <w:pPr>
              <w:jc w:val="center"/>
              <w:rPr>
                <w:b/>
                <w:noProof/>
                <w:color w:val="000000" w:themeColor="text1"/>
                <w:sz w:val="26"/>
                <w:szCs w:val="26"/>
                <w:lang w:val="vi-VN"/>
              </w:rPr>
            </w:pPr>
            <w:r w:rsidRPr="0032641A">
              <w:rPr>
                <w:b/>
                <w:noProof/>
                <w:color w:val="000000" w:themeColor="text1"/>
                <w:sz w:val="26"/>
                <w:szCs w:val="26"/>
                <w:lang w:val="vi-VN"/>
              </w:rPr>
              <w:t>HỘI ĐỒNG NHÂN DÂN</w:t>
            </w:r>
          </w:p>
          <w:p w:rsidR="001674A7" w:rsidRPr="0032641A" w:rsidRDefault="001674A7" w:rsidP="00280638">
            <w:pPr>
              <w:jc w:val="center"/>
              <w:rPr>
                <w:b/>
                <w:noProof/>
                <w:color w:val="000000" w:themeColor="text1"/>
                <w:sz w:val="26"/>
                <w:lang w:val="vi-VN"/>
              </w:rPr>
            </w:pPr>
            <w:r w:rsidRPr="0032641A">
              <w:rPr>
                <w:b/>
                <w:noProof/>
                <w:color w:val="000000" w:themeColor="text1"/>
                <w:sz w:val="26"/>
                <w:szCs w:val="26"/>
                <w:lang w:val="vi-VN" w:eastAsia="vi-VN"/>
              </w:rPr>
              <mc:AlternateContent>
                <mc:Choice Requires="wps">
                  <w:drawing>
                    <wp:anchor distT="0" distB="0" distL="114300" distR="114300" simplePos="0" relativeHeight="251661312" behindDoc="0" locked="0" layoutInCell="1" allowOverlap="1" wp14:anchorId="01E32683" wp14:editId="02491B94">
                      <wp:simplePos x="0" y="0"/>
                      <wp:positionH relativeFrom="column">
                        <wp:posOffset>554990</wp:posOffset>
                      </wp:positionH>
                      <wp:positionV relativeFrom="paragraph">
                        <wp:posOffset>217805</wp:posOffset>
                      </wp:positionV>
                      <wp:extent cx="685800" cy="0"/>
                      <wp:effectExtent l="12700" t="13335" r="635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5F966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pt,17.15pt" to="97.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pK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1S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"/>
                  </w:pict>
                </mc:Fallback>
              </mc:AlternateContent>
            </w:r>
            <w:r w:rsidRPr="0032641A">
              <w:rPr>
                <w:b/>
                <w:noProof/>
                <w:color w:val="000000" w:themeColor="text1"/>
                <w:sz w:val="26"/>
                <w:szCs w:val="26"/>
                <w:lang w:val="vi-VN"/>
              </w:rPr>
              <w:t>TỈNH BÌNH THUẬN</w:t>
            </w:r>
          </w:p>
        </w:tc>
        <w:tc>
          <w:tcPr>
            <w:tcW w:w="5706" w:type="dxa"/>
            <w:shd w:val="clear" w:color="auto" w:fill="auto"/>
          </w:tcPr>
          <w:p w:rsidR="001674A7" w:rsidRPr="0032641A" w:rsidRDefault="001674A7" w:rsidP="00280638">
            <w:pPr>
              <w:jc w:val="center"/>
              <w:rPr>
                <w:b/>
                <w:noProof/>
                <w:color w:val="000000" w:themeColor="text1"/>
                <w:sz w:val="26"/>
                <w:szCs w:val="26"/>
                <w:lang w:val="vi-VN"/>
              </w:rPr>
            </w:pPr>
            <w:r w:rsidRPr="0032641A">
              <w:rPr>
                <w:b/>
                <w:noProof/>
                <w:color w:val="000000" w:themeColor="text1"/>
                <w:sz w:val="26"/>
                <w:szCs w:val="26"/>
                <w:lang w:val="vi-VN"/>
              </w:rPr>
              <w:t>CỘNG HÒA XÃ HỘI CHỦ NGHĨA VIỆT NAM</w:t>
            </w:r>
          </w:p>
          <w:p w:rsidR="001674A7" w:rsidRPr="0032641A" w:rsidRDefault="001674A7" w:rsidP="00280638">
            <w:pPr>
              <w:jc w:val="center"/>
              <w:rPr>
                <w:noProof/>
                <w:color w:val="000000" w:themeColor="text1"/>
                <w:sz w:val="28"/>
                <w:szCs w:val="28"/>
                <w:lang w:val="vi-VN"/>
              </w:rPr>
            </w:pPr>
            <w:r w:rsidRPr="0032641A">
              <w:rPr>
                <w:noProof/>
                <w:color w:val="000000" w:themeColor="text1"/>
                <w:sz w:val="28"/>
                <w:szCs w:val="28"/>
                <w:lang w:val="vi-VN" w:eastAsia="vi-VN"/>
              </w:rPr>
              <mc:AlternateContent>
                <mc:Choice Requires="wps">
                  <w:drawing>
                    <wp:anchor distT="0" distB="0" distL="114300" distR="114300" simplePos="0" relativeHeight="251659264" behindDoc="0" locked="0" layoutInCell="1" allowOverlap="1" wp14:anchorId="0B091F3F" wp14:editId="78007033">
                      <wp:simplePos x="0" y="0"/>
                      <wp:positionH relativeFrom="column">
                        <wp:align>center</wp:align>
                      </wp:positionH>
                      <wp:positionV relativeFrom="paragraph">
                        <wp:posOffset>215900</wp:posOffset>
                      </wp:positionV>
                      <wp:extent cx="1922780" cy="0"/>
                      <wp:effectExtent l="13335" t="8255" r="698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2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67BA94" id="Straight Connector 2"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7pt" to="151.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RLHA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"/>
                  </w:pict>
                </mc:Fallback>
              </mc:AlternateContent>
            </w:r>
            <w:r w:rsidRPr="0032641A">
              <w:rPr>
                <w:b/>
                <w:noProof/>
                <w:color w:val="000000" w:themeColor="text1"/>
                <w:sz w:val="28"/>
                <w:szCs w:val="28"/>
                <w:lang w:val="vi-VN"/>
              </w:rPr>
              <w:t>Độc lập - Tự do - Hạnh phúc</w:t>
            </w:r>
          </w:p>
        </w:tc>
      </w:tr>
      <w:tr w:rsidR="0032641A" w:rsidRPr="00E62A1F" w:rsidTr="009F2048">
        <w:tc>
          <w:tcPr>
            <w:tcW w:w="3292" w:type="dxa"/>
            <w:shd w:val="clear" w:color="auto" w:fill="auto"/>
          </w:tcPr>
          <w:p w:rsidR="001674A7" w:rsidRPr="0032641A" w:rsidRDefault="00801CD3" w:rsidP="009A2ACB">
            <w:pPr>
              <w:spacing w:before="120"/>
              <w:jc w:val="center"/>
              <w:rPr>
                <w:noProof/>
                <w:color w:val="000000" w:themeColor="text1"/>
                <w:sz w:val="26"/>
                <w:lang w:val="vi-VN"/>
              </w:rPr>
            </w:pPr>
            <w:r>
              <w:rPr>
                <w:noProof/>
                <w:color w:val="000000" w:themeColor="text1"/>
                <w:sz w:val="26"/>
                <w:lang w:val="vi-VN"/>
              </w:rPr>
              <w:t>Số:</w:t>
            </w:r>
            <w:r w:rsidR="009A2ACB">
              <w:rPr>
                <w:noProof/>
                <w:color w:val="000000" w:themeColor="text1"/>
                <w:sz w:val="26"/>
              </w:rPr>
              <w:t>58</w:t>
            </w:r>
            <w:r w:rsidR="001674A7" w:rsidRPr="0032641A">
              <w:rPr>
                <w:noProof/>
                <w:color w:val="000000" w:themeColor="text1"/>
                <w:sz w:val="26"/>
                <w:lang w:val="vi-VN"/>
              </w:rPr>
              <w:t xml:space="preserve"> /NQ-HĐND</w:t>
            </w:r>
          </w:p>
        </w:tc>
        <w:tc>
          <w:tcPr>
            <w:tcW w:w="5706" w:type="dxa"/>
            <w:shd w:val="clear" w:color="auto" w:fill="auto"/>
          </w:tcPr>
          <w:p w:rsidR="001674A7" w:rsidRPr="00E62A1F" w:rsidRDefault="001C32C7" w:rsidP="009A2ACB">
            <w:pPr>
              <w:spacing w:before="120"/>
              <w:jc w:val="center"/>
              <w:rPr>
                <w:i/>
                <w:noProof/>
                <w:color w:val="000000" w:themeColor="text1"/>
                <w:sz w:val="26"/>
                <w:szCs w:val="26"/>
                <w:lang w:val="vi-VN"/>
              </w:rPr>
            </w:pPr>
            <w:r>
              <w:rPr>
                <w:i/>
                <w:noProof/>
                <w:color w:val="000000" w:themeColor="text1"/>
                <w:sz w:val="26"/>
                <w:szCs w:val="26"/>
              </w:rPr>
              <w:t xml:space="preserve">    </w:t>
            </w:r>
            <w:r w:rsidR="00801CD3">
              <w:rPr>
                <w:i/>
                <w:noProof/>
                <w:color w:val="000000" w:themeColor="text1"/>
                <w:sz w:val="26"/>
                <w:szCs w:val="26"/>
              </w:rPr>
              <w:t xml:space="preserve">           </w:t>
            </w:r>
            <w:bookmarkStart w:id="0" w:name="_GoBack"/>
            <w:bookmarkEnd w:id="0"/>
            <w:r w:rsidR="001674A7" w:rsidRPr="0032641A">
              <w:rPr>
                <w:i/>
                <w:noProof/>
                <w:color w:val="000000" w:themeColor="text1"/>
                <w:sz w:val="26"/>
                <w:szCs w:val="26"/>
                <w:lang w:val="vi-VN"/>
              </w:rPr>
              <w:t xml:space="preserve">Bình Thuận, ngày   </w:t>
            </w:r>
            <w:r w:rsidR="009A2ACB">
              <w:rPr>
                <w:i/>
                <w:noProof/>
                <w:color w:val="000000" w:themeColor="text1"/>
                <w:sz w:val="26"/>
                <w:szCs w:val="26"/>
              </w:rPr>
              <w:t>07</w:t>
            </w:r>
            <w:r w:rsidR="001674A7" w:rsidRPr="0032641A">
              <w:rPr>
                <w:i/>
                <w:noProof/>
                <w:color w:val="000000" w:themeColor="text1"/>
                <w:sz w:val="26"/>
                <w:szCs w:val="26"/>
                <w:lang w:val="vi-VN"/>
              </w:rPr>
              <w:t xml:space="preserve">  tháng </w:t>
            </w:r>
            <w:r w:rsidR="00B81472" w:rsidRPr="00E62A1F">
              <w:rPr>
                <w:i/>
                <w:noProof/>
                <w:color w:val="000000" w:themeColor="text1"/>
                <w:sz w:val="26"/>
                <w:szCs w:val="26"/>
                <w:lang w:val="vi-VN"/>
              </w:rPr>
              <w:t>1</w:t>
            </w:r>
            <w:r w:rsidR="00F1273D" w:rsidRPr="00E62A1F">
              <w:rPr>
                <w:i/>
                <w:noProof/>
                <w:color w:val="000000" w:themeColor="text1"/>
                <w:sz w:val="26"/>
                <w:szCs w:val="26"/>
                <w:lang w:val="vi-VN"/>
              </w:rPr>
              <w:t>2</w:t>
            </w:r>
            <w:r w:rsidR="001674A7" w:rsidRPr="0032641A">
              <w:rPr>
                <w:i/>
                <w:noProof/>
                <w:color w:val="000000" w:themeColor="text1"/>
                <w:sz w:val="26"/>
                <w:szCs w:val="26"/>
                <w:lang w:val="vi-VN"/>
              </w:rPr>
              <w:t xml:space="preserve"> năm 201</w:t>
            </w:r>
            <w:r w:rsidR="00B81472" w:rsidRPr="00E62A1F">
              <w:rPr>
                <w:i/>
                <w:noProof/>
                <w:color w:val="000000" w:themeColor="text1"/>
                <w:sz w:val="26"/>
                <w:szCs w:val="26"/>
                <w:lang w:val="vi-VN"/>
              </w:rPr>
              <w:t>8</w:t>
            </w:r>
          </w:p>
        </w:tc>
      </w:tr>
      <w:tr w:rsidR="0032641A" w:rsidRPr="00E62A1F" w:rsidTr="009F2048">
        <w:trPr>
          <w:trHeight w:val="1758"/>
        </w:trPr>
        <w:tc>
          <w:tcPr>
            <w:tcW w:w="8998" w:type="dxa"/>
            <w:gridSpan w:val="2"/>
            <w:shd w:val="clear" w:color="auto" w:fill="auto"/>
          </w:tcPr>
          <w:p w:rsidR="001674A7" w:rsidRPr="0032641A" w:rsidRDefault="001674A7" w:rsidP="00280638">
            <w:pPr>
              <w:spacing w:before="120"/>
              <w:jc w:val="both"/>
              <w:rPr>
                <w:noProof/>
                <w:color w:val="000000" w:themeColor="text1"/>
                <w:sz w:val="26"/>
                <w:lang w:val="vi-VN"/>
              </w:rPr>
            </w:pPr>
          </w:p>
          <w:p w:rsidR="001674A7" w:rsidRPr="0032641A" w:rsidRDefault="001674A7" w:rsidP="00280638">
            <w:pPr>
              <w:jc w:val="center"/>
              <w:rPr>
                <w:b/>
                <w:noProof/>
                <w:color w:val="000000" w:themeColor="text1"/>
                <w:sz w:val="30"/>
                <w:szCs w:val="36"/>
                <w:lang w:val="vi-VN"/>
              </w:rPr>
            </w:pPr>
            <w:r w:rsidRPr="0032641A">
              <w:rPr>
                <w:b/>
                <w:noProof/>
                <w:color w:val="000000" w:themeColor="text1"/>
                <w:sz w:val="30"/>
                <w:szCs w:val="36"/>
                <w:lang w:val="vi-VN"/>
              </w:rPr>
              <w:t>NGHỊ QUYẾT</w:t>
            </w:r>
          </w:p>
          <w:p w:rsidR="001674A7" w:rsidRPr="0032641A" w:rsidRDefault="001674A7" w:rsidP="00280638">
            <w:pPr>
              <w:jc w:val="center"/>
              <w:rPr>
                <w:b/>
                <w:noProof/>
                <w:color w:val="000000" w:themeColor="text1"/>
                <w:sz w:val="28"/>
                <w:lang w:val="vi-VN"/>
              </w:rPr>
            </w:pPr>
            <w:r w:rsidRPr="0032641A">
              <w:rPr>
                <w:b/>
                <w:noProof/>
                <w:color w:val="000000" w:themeColor="text1"/>
                <w:sz w:val="28"/>
                <w:lang w:val="vi-VN"/>
              </w:rPr>
              <w:t xml:space="preserve">Về dự toán thu ngân sách nhà nước trên địa bàn, chi ngân sách </w:t>
            </w:r>
          </w:p>
          <w:p w:rsidR="001674A7" w:rsidRPr="0032641A" w:rsidRDefault="001674A7" w:rsidP="00B81472">
            <w:pPr>
              <w:jc w:val="center"/>
              <w:rPr>
                <w:noProof/>
                <w:color w:val="000000" w:themeColor="text1"/>
                <w:sz w:val="28"/>
                <w:lang w:val="vi-VN"/>
              </w:rPr>
            </w:pPr>
            <w:r w:rsidRPr="0032641A">
              <w:rPr>
                <w:noProof/>
                <w:color w:val="000000" w:themeColor="text1"/>
                <w:sz w:val="28"/>
                <w:u w:val="single"/>
                <w:lang w:val="vi-VN" w:eastAsia="vi-VN"/>
              </w:rPr>
              <mc:AlternateContent>
                <mc:Choice Requires="wps">
                  <w:drawing>
                    <wp:anchor distT="0" distB="0" distL="114300" distR="114300" simplePos="0" relativeHeight="251660288" behindDoc="0" locked="0" layoutInCell="1" allowOverlap="1" wp14:anchorId="6C29531D" wp14:editId="0866837D">
                      <wp:simplePos x="0" y="0"/>
                      <wp:positionH relativeFrom="column">
                        <wp:posOffset>1844675</wp:posOffset>
                      </wp:positionH>
                      <wp:positionV relativeFrom="paragraph">
                        <wp:posOffset>257810</wp:posOffset>
                      </wp:positionV>
                      <wp:extent cx="1828800" cy="0"/>
                      <wp:effectExtent l="6985" t="12065" r="1206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76BD0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25pt,20.3pt" to="289.2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"/>
                  </w:pict>
                </mc:Fallback>
              </mc:AlternateContent>
            </w:r>
            <w:r w:rsidRPr="0032641A">
              <w:rPr>
                <w:b/>
                <w:noProof/>
                <w:color w:val="000000" w:themeColor="text1"/>
                <w:sz w:val="28"/>
                <w:lang w:val="vi-VN"/>
              </w:rPr>
              <w:t>địa phương; phương án phân bổ ngân sách tỉnh năm 201</w:t>
            </w:r>
            <w:r w:rsidR="00B81472" w:rsidRPr="00E62A1F">
              <w:rPr>
                <w:b/>
                <w:noProof/>
                <w:color w:val="000000" w:themeColor="text1"/>
                <w:sz w:val="28"/>
                <w:lang w:val="vi-VN"/>
              </w:rPr>
              <w:t>9</w:t>
            </w:r>
            <w:r w:rsidRPr="0032641A">
              <w:rPr>
                <w:b/>
                <w:noProof/>
                <w:color w:val="000000" w:themeColor="text1"/>
                <w:sz w:val="28"/>
                <w:lang w:val="vi-VN"/>
              </w:rPr>
              <w:t xml:space="preserve"> </w:t>
            </w:r>
          </w:p>
        </w:tc>
      </w:tr>
    </w:tbl>
    <w:p w:rsidR="001674A7" w:rsidRPr="0032641A" w:rsidRDefault="001674A7" w:rsidP="001674A7">
      <w:pPr>
        <w:pStyle w:val="BodyTextIndent"/>
        <w:spacing w:before="120"/>
        <w:ind w:left="357" w:firstLine="0"/>
        <w:jc w:val="center"/>
        <w:rPr>
          <w:b/>
          <w:noProof/>
          <w:color w:val="000000" w:themeColor="text1"/>
          <w:lang w:val="vi-VN"/>
        </w:rPr>
      </w:pPr>
      <w:r w:rsidRPr="0032641A">
        <w:rPr>
          <w:b/>
          <w:noProof/>
          <w:color w:val="000000" w:themeColor="text1"/>
          <w:lang w:val="vi-VN"/>
        </w:rPr>
        <w:t>HỘI ĐỒNG NHÂN DÂN TỈNH BÌNH THUẬN</w:t>
      </w:r>
    </w:p>
    <w:p w:rsidR="001674A7" w:rsidRPr="00E62A1F" w:rsidRDefault="001674A7" w:rsidP="001674A7">
      <w:pPr>
        <w:ind w:left="360"/>
        <w:jc w:val="center"/>
        <w:rPr>
          <w:b/>
          <w:noProof/>
          <w:color w:val="000000" w:themeColor="text1"/>
          <w:sz w:val="28"/>
          <w:lang w:val="vi-VN"/>
        </w:rPr>
      </w:pPr>
      <w:r w:rsidRPr="0032641A">
        <w:rPr>
          <w:b/>
          <w:noProof/>
          <w:color w:val="000000" w:themeColor="text1"/>
          <w:sz w:val="28"/>
          <w:lang w:val="vi-VN"/>
        </w:rPr>
        <w:t xml:space="preserve">KHÓA X, KỲ HỌP THỨ </w:t>
      </w:r>
      <w:r w:rsidR="00854F5B" w:rsidRPr="00E62A1F">
        <w:rPr>
          <w:b/>
          <w:noProof/>
          <w:color w:val="000000" w:themeColor="text1"/>
          <w:sz w:val="28"/>
          <w:lang w:val="vi-VN"/>
        </w:rPr>
        <w:t>7</w:t>
      </w:r>
    </w:p>
    <w:p w:rsidR="001674A7" w:rsidRPr="0032641A" w:rsidRDefault="001674A7" w:rsidP="001674A7">
      <w:pPr>
        <w:pStyle w:val="BodyTextIndent"/>
        <w:rPr>
          <w:noProof/>
          <w:color w:val="000000" w:themeColor="text1"/>
          <w:lang w:val="vi-VN"/>
        </w:rPr>
      </w:pPr>
    </w:p>
    <w:p w:rsidR="001674A7" w:rsidRPr="0032641A" w:rsidRDefault="00B11402" w:rsidP="00324980">
      <w:pPr>
        <w:pStyle w:val="BodyTextIndent"/>
        <w:spacing w:before="120" w:after="120" w:line="288" w:lineRule="auto"/>
        <w:ind w:left="0" w:firstLine="720"/>
        <w:rPr>
          <w:noProof/>
          <w:color w:val="000000" w:themeColor="text1"/>
          <w:szCs w:val="28"/>
          <w:lang w:val="vi-VN"/>
        </w:rPr>
      </w:pPr>
      <w:r w:rsidRPr="0032641A">
        <w:rPr>
          <w:noProof/>
          <w:color w:val="000000" w:themeColor="text1"/>
          <w:szCs w:val="28"/>
          <w:lang w:val="vi-VN"/>
        </w:rPr>
        <w:t>Căn cứ Luật Tổ chức chính quyền địa phương ngày 19</w:t>
      </w:r>
      <w:r w:rsidR="005C45A8" w:rsidRPr="00E62A1F">
        <w:rPr>
          <w:noProof/>
          <w:color w:val="000000" w:themeColor="text1"/>
          <w:szCs w:val="28"/>
          <w:lang w:val="vi-VN"/>
        </w:rPr>
        <w:t xml:space="preserve"> tháng </w:t>
      </w:r>
      <w:r w:rsidRPr="0032641A">
        <w:rPr>
          <w:noProof/>
          <w:color w:val="000000" w:themeColor="text1"/>
          <w:szCs w:val="28"/>
          <w:lang w:val="vi-VN"/>
        </w:rPr>
        <w:t>6</w:t>
      </w:r>
      <w:r w:rsidR="005C45A8" w:rsidRPr="00E62A1F">
        <w:rPr>
          <w:noProof/>
          <w:color w:val="000000" w:themeColor="text1"/>
          <w:szCs w:val="28"/>
          <w:lang w:val="vi-VN"/>
        </w:rPr>
        <w:t xml:space="preserve"> năm </w:t>
      </w:r>
      <w:r w:rsidRPr="0032641A">
        <w:rPr>
          <w:noProof/>
          <w:color w:val="000000" w:themeColor="text1"/>
          <w:szCs w:val="28"/>
          <w:lang w:val="vi-VN"/>
        </w:rPr>
        <w:t>2015</w:t>
      </w:r>
      <w:r w:rsidR="001674A7" w:rsidRPr="0032641A">
        <w:rPr>
          <w:noProof/>
          <w:color w:val="000000" w:themeColor="text1"/>
          <w:szCs w:val="28"/>
          <w:lang w:val="vi-VN"/>
        </w:rPr>
        <w:t>;</w:t>
      </w:r>
    </w:p>
    <w:p w:rsidR="001674A7" w:rsidRPr="0032641A" w:rsidRDefault="00B11402" w:rsidP="00324980">
      <w:pPr>
        <w:pStyle w:val="BodyTextIndent"/>
        <w:spacing w:before="120" w:after="120" w:line="288" w:lineRule="auto"/>
        <w:ind w:left="0" w:firstLine="720"/>
        <w:rPr>
          <w:noProof/>
          <w:color w:val="000000" w:themeColor="text1"/>
          <w:szCs w:val="28"/>
          <w:lang w:val="vi-VN"/>
        </w:rPr>
      </w:pPr>
      <w:r w:rsidRPr="0032641A">
        <w:rPr>
          <w:noProof/>
          <w:color w:val="000000" w:themeColor="text1"/>
          <w:szCs w:val="28"/>
          <w:lang w:val="vi-VN"/>
        </w:rPr>
        <w:t xml:space="preserve">Căn cứ Luật Ngân sách nhà nước </w:t>
      </w:r>
      <w:r w:rsidR="00E5544B" w:rsidRPr="0032641A">
        <w:rPr>
          <w:noProof/>
          <w:color w:val="000000" w:themeColor="text1"/>
          <w:szCs w:val="28"/>
          <w:lang w:val="vi-VN"/>
        </w:rPr>
        <w:t>ngày 25</w:t>
      </w:r>
      <w:r w:rsidR="00E5544B" w:rsidRPr="00E62A1F">
        <w:rPr>
          <w:noProof/>
          <w:color w:val="000000" w:themeColor="text1"/>
          <w:szCs w:val="28"/>
          <w:lang w:val="vi-VN"/>
        </w:rPr>
        <w:t xml:space="preserve"> tháng </w:t>
      </w:r>
      <w:r w:rsidRPr="0032641A">
        <w:rPr>
          <w:noProof/>
          <w:color w:val="000000" w:themeColor="text1"/>
          <w:szCs w:val="28"/>
          <w:lang w:val="vi-VN"/>
        </w:rPr>
        <w:t>6</w:t>
      </w:r>
      <w:r w:rsidR="00E5544B" w:rsidRPr="00E62A1F">
        <w:rPr>
          <w:noProof/>
          <w:color w:val="000000" w:themeColor="text1"/>
          <w:szCs w:val="28"/>
          <w:lang w:val="vi-VN"/>
        </w:rPr>
        <w:t xml:space="preserve"> năm </w:t>
      </w:r>
      <w:r w:rsidRPr="0032641A">
        <w:rPr>
          <w:noProof/>
          <w:color w:val="000000" w:themeColor="text1"/>
          <w:szCs w:val="28"/>
          <w:lang w:val="vi-VN"/>
        </w:rPr>
        <w:t>2015</w:t>
      </w:r>
      <w:r w:rsidR="001674A7" w:rsidRPr="0032641A">
        <w:rPr>
          <w:noProof/>
          <w:color w:val="000000" w:themeColor="text1"/>
          <w:szCs w:val="28"/>
          <w:lang w:val="vi-VN"/>
        </w:rPr>
        <w:t>;</w:t>
      </w:r>
    </w:p>
    <w:p w:rsidR="001674A7" w:rsidRPr="0032641A" w:rsidRDefault="006E1E10" w:rsidP="00324980">
      <w:pPr>
        <w:pStyle w:val="BodyTextIndent"/>
        <w:spacing w:before="120" w:after="120" w:line="288" w:lineRule="auto"/>
        <w:ind w:left="0" w:firstLine="720"/>
        <w:rPr>
          <w:noProof/>
          <w:color w:val="000000" w:themeColor="text1"/>
          <w:szCs w:val="28"/>
          <w:lang w:val="vi-VN"/>
        </w:rPr>
      </w:pPr>
      <w:r w:rsidRPr="0032641A">
        <w:rPr>
          <w:noProof/>
          <w:color w:val="000000" w:themeColor="text1"/>
          <w:szCs w:val="28"/>
          <w:lang w:val="vi-VN"/>
        </w:rPr>
        <w:t xml:space="preserve">Căn cứ Quyết định số </w:t>
      </w:r>
      <w:r w:rsidR="00614C65">
        <w:rPr>
          <w:noProof/>
          <w:color w:val="000000" w:themeColor="text1"/>
          <w:szCs w:val="28"/>
        </w:rPr>
        <w:t>1629</w:t>
      </w:r>
      <w:r w:rsidRPr="0032641A">
        <w:rPr>
          <w:noProof/>
          <w:color w:val="000000" w:themeColor="text1"/>
          <w:szCs w:val="28"/>
          <w:lang w:val="vi-VN"/>
        </w:rPr>
        <w:t xml:space="preserve">/QĐ-TTg ngày </w:t>
      </w:r>
      <w:r w:rsidR="00614C65">
        <w:rPr>
          <w:noProof/>
          <w:color w:val="000000" w:themeColor="text1"/>
          <w:szCs w:val="28"/>
        </w:rPr>
        <w:t>23</w:t>
      </w:r>
      <w:r w:rsidRPr="0032641A">
        <w:rPr>
          <w:noProof/>
          <w:color w:val="000000" w:themeColor="text1"/>
          <w:szCs w:val="28"/>
          <w:lang w:val="vi-VN"/>
        </w:rPr>
        <w:t xml:space="preserve"> tháng 11 năm 201</w:t>
      </w:r>
      <w:r w:rsidR="00611C93">
        <w:rPr>
          <w:noProof/>
          <w:color w:val="000000" w:themeColor="text1"/>
          <w:szCs w:val="28"/>
        </w:rPr>
        <w:t>8</w:t>
      </w:r>
      <w:r w:rsidRPr="0032641A">
        <w:rPr>
          <w:noProof/>
          <w:color w:val="000000" w:themeColor="text1"/>
          <w:szCs w:val="28"/>
          <w:lang w:val="vi-VN"/>
        </w:rPr>
        <w:t xml:space="preserve"> </w:t>
      </w:r>
      <w:r w:rsidR="00614C65">
        <w:rPr>
          <w:noProof/>
          <w:color w:val="000000" w:themeColor="text1"/>
          <w:szCs w:val="28"/>
          <w:lang w:val="vi-VN"/>
        </w:rPr>
        <w:t xml:space="preserve">của Thủ tướng Chính phủ về </w:t>
      </w:r>
      <w:r w:rsidRPr="0032641A">
        <w:rPr>
          <w:noProof/>
          <w:color w:val="000000" w:themeColor="text1"/>
          <w:szCs w:val="28"/>
          <w:lang w:val="vi-VN"/>
        </w:rPr>
        <w:t>giao dự toán ngân sách nhà nước năm 201</w:t>
      </w:r>
      <w:r w:rsidR="00426A44" w:rsidRPr="00E62A1F">
        <w:rPr>
          <w:noProof/>
          <w:color w:val="000000" w:themeColor="text1"/>
          <w:szCs w:val="28"/>
          <w:lang w:val="vi-VN"/>
        </w:rPr>
        <w:t>9</w:t>
      </w:r>
      <w:r w:rsidRPr="0032641A">
        <w:rPr>
          <w:noProof/>
          <w:color w:val="000000" w:themeColor="text1"/>
          <w:szCs w:val="28"/>
          <w:lang w:val="vi-VN"/>
        </w:rPr>
        <w:t xml:space="preserve"> và Quyết định số</w:t>
      </w:r>
      <w:r w:rsidR="00614C65">
        <w:rPr>
          <w:noProof/>
          <w:color w:val="000000" w:themeColor="text1"/>
          <w:szCs w:val="28"/>
        </w:rPr>
        <w:t xml:space="preserve"> 2231</w:t>
      </w:r>
      <w:r w:rsidRPr="0032641A">
        <w:rPr>
          <w:noProof/>
          <w:color w:val="000000" w:themeColor="text1"/>
          <w:szCs w:val="28"/>
          <w:lang w:val="vi-VN"/>
        </w:rPr>
        <w:t>/QĐ-BTC ngày</w:t>
      </w:r>
      <w:r w:rsidR="00614C65">
        <w:rPr>
          <w:noProof/>
          <w:color w:val="000000" w:themeColor="text1"/>
          <w:szCs w:val="28"/>
        </w:rPr>
        <w:t xml:space="preserve"> 23</w:t>
      </w:r>
      <w:r w:rsidRPr="0032641A">
        <w:rPr>
          <w:noProof/>
          <w:color w:val="000000" w:themeColor="text1"/>
          <w:szCs w:val="28"/>
          <w:lang w:val="vi-VN"/>
        </w:rPr>
        <w:t xml:space="preserve"> tháng 11 năm 201</w:t>
      </w:r>
      <w:r w:rsidR="00664EE2" w:rsidRPr="00E62A1F">
        <w:rPr>
          <w:noProof/>
          <w:color w:val="000000" w:themeColor="text1"/>
          <w:szCs w:val="28"/>
          <w:lang w:val="vi-VN"/>
        </w:rPr>
        <w:t>8</w:t>
      </w:r>
      <w:r w:rsidRPr="0032641A">
        <w:rPr>
          <w:noProof/>
          <w:color w:val="000000" w:themeColor="text1"/>
          <w:szCs w:val="28"/>
          <w:lang w:val="vi-VN"/>
        </w:rPr>
        <w:t xml:space="preserve"> của Bộ Tài chính về việc giao dự toán thu, chi ngân sách nhà nước năm 201</w:t>
      </w:r>
      <w:r w:rsidR="00132041" w:rsidRPr="00E62A1F">
        <w:rPr>
          <w:noProof/>
          <w:color w:val="000000" w:themeColor="text1"/>
          <w:szCs w:val="28"/>
          <w:lang w:val="vi-VN"/>
        </w:rPr>
        <w:t>9</w:t>
      </w:r>
      <w:r w:rsidRPr="0032641A">
        <w:rPr>
          <w:noProof/>
          <w:color w:val="000000" w:themeColor="text1"/>
          <w:szCs w:val="28"/>
          <w:lang w:val="vi-VN"/>
        </w:rPr>
        <w:t>;</w:t>
      </w:r>
    </w:p>
    <w:p w:rsidR="0017491C" w:rsidRDefault="001674A7" w:rsidP="0017491C">
      <w:pPr>
        <w:pStyle w:val="BodyTextIndent"/>
        <w:spacing w:before="120" w:after="120" w:line="288" w:lineRule="auto"/>
        <w:ind w:left="0" w:firstLine="720"/>
        <w:rPr>
          <w:noProof/>
          <w:color w:val="000000" w:themeColor="text1"/>
          <w:szCs w:val="28"/>
        </w:rPr>
      </w:pPr>
      <w:r w:rsidRPr="0032641A">
        <w:rPr>
          <w:noProof/>
          <w:color w:val="000000" w:themeColor="text1"/>
          <w:szCs w:val="28"/>
          <w:lang w:val="vi-VN"/>
        </w:rPr>
        <w:t xml:space="preserve">Sau khi xem xét Tờ trình số </w:t>
      </w:r>
      <w:r w:rsidR="00611C93">
        <w:rPr>
          <w:noProof/>
          <w:color w:val="000000" w:themeColor="text1"/>
          <w:szCs w:val="28"/>
        </w:rPr>
        <w:t>4722</w:t>
      </w:r>
      <w:r w:rsidRPr="0032641A">
        <w:rPr>
          <w:noProof/>
          <w:color w:val="000000" w:themeColor="text1"/>
          <w:szCs w:val="28"/>
          <w:lang w:val="vi-VN"/>
        </w:rPr>
        <w:t xml:space="preserve">/TTr-UBND ngày </w:t>
      </w:r>
      <w:r w:rsidR="00611C93">
        <w:rPr>
          <w:noProof/>
          <w:color w:val="000000" w:themeColor="text1"/>
          <w:szCs w:val="28"/>
        </w:rPr>
        <w:t>05</w:t>
      </w:r>
      <w:r w:rsidRPr="0032641A">
        <w:rPr>
          <w:noProof/>
          <w:color w:val="000000" w:themeColor="text1"/>
          <w:szCs w:val="28"/>
          <w:lang w:val="vi-VN"/>
        </w:rPr>
        <w:t xml:space="preserve"> tháng 1</w:t>
      </w:r>
      <w:r w:rsidR="00807145" w:rsidRPr="00E62A1F">
        <w:rPr>
          <w:noProof/>
          <w:color w:val="000000" w:themeColor="text1"/>
          <w:szCs w:val="28"/>
          <w:lang w:val="vi-VN"/>
        </w:rPr>
        <w:t>1</w:t>
      </w:r>
      <w:r w:rsidRPr="0032641A">
        <w:rPr>
          <w:noProof/>
          <w:color w:val="000000" w:themeColor="text1"/>
          <w:szCs w:val="28"/>
          <w:lang w:val="vi-VN"/>
        </w:rPr>
        <w:t xml:space="preserve"> năm 201</w:t>
      </w:r>
      <w:r w:rsidR="00E80209" w:rsidRPr="00E62A1F">
        <w:rPr>
          <w:noProof/>
          <w:color w:val="000000" w:themeColor="text1"/>
          <w:szCs w:val="28"/>
          <w:lang w:val="vi-VN"/>
        </w:rPr>
        <w:t>8</w:t>
      </w:r>
      <w:r w:rsidRPr="0032641A">
        <w:rPr>
          <w:noProof/>
          <w:color w:val="000000" w:themeColor="text1"/>
          <w:szCs w:val="28"/>
          <w:lang w:val="vi-VN"/>
        </w:rPr>
        <w:t xml:space="preserve"> của </w:t>
      </w:r>
      <w:r w:rsidR="00611C93">
        <w:rPr>
          <w:noProof/>
          <w:color w:val="000000" w:themeColor="text1"/>
          <w:szCs w:val="28"/>
        </w:rPr>
        <w:t>UBND</w:t>
      </w:r>
      <w:r w:rsidRPr="0032641A">
        <w:rPr>
          <w:noProof/>
          <w:color w:val="000000" w:themeColor="text1"/>
          <w:szCs w:val="28"/>
          <w:lang w:val="vi-VN"/>
        </w:rPr>
        <w:t xml:space="preserve"> tỉnh về tình hình thực hiện thu, chi ngân sách nhà nước</w:t>
      </w:r>
      <w:r w:rsidR="007E63F8">
        <w:rPr>
          <w:noProof/>
          <w:color w:val="000000" w:themeColor="text1"/>
          <w:szCs w:val="28"/>
        </w:rPr>
        <w:t>; s</w:t>
      </w:r>
      <w:r w:rsidR="0017491C">
        <w:rPr>
          <w:noProof/>
          <w:color w:val="000000" w:themeColor="text1"/>
          <w:szCs w:val="28"/>
        </w:rPr>
        <w:t>ử dụng dự phòng ngân sách, ứng trước ngân sách</w:t>
      </w:r>
      <w:r w:rsidRPr="0032641A">
        <w:rPr>
          <w:noProof/>
          <w:color w:val="000000" w:themeColor="text1"/>
          <w:szCs w:val="28"/>
          <w:lang w:val="vi-VN"/>
        </w:rPr>
        <w:t xml:space="preserve"> năm 201</w:t>
      </w:r>
      <w:r w:rsidR="009E205A" w:rsidRPr="00E62A1F">
        <w:rPr>
          <w:noProof/>
          <w:color w:val="000000" w:themeColor="text1"/>
          <w:szCs w:val="28"/>
          <w:lang w:val="vi-VN"/>
        </w:rPr>
        <w:t>8</w:t>
      </w:r>
      <w:r w:rsidRPr="0032641A">
        <w:rPr>
          <w:noProof/>
          <w:color w:val="000000" w:themeColor="text1"/>
          <w:szCs w:val="28"/>
          <w:lang w:val="vi-VN"/>
        </w:rPr>
        <w:t xml:space="preserve"> và dự toán thu, chi ngân sách nhà nước năm 201</w:t>
      </w:r>
      <w:r w:rsidR="00DB611C" w:rsidRPr="00E62A1F">
        <w:rPr>
          <w:noProof/>
          <w:color w:val="000000" w:themeColor="text1"/>
          <w:szCs w:val="28"/>
          <w:lang w:val="vi-VN"/>
        </w:rPr>
        <w:t>9</w:t>
      </w:r>
      <w:r w:rsidRPr="0032641A">
        <w:rPr>
          <w:noProof/>
          <w:color w:val="000000" w:themeColor="text1"/>
          <w:szCs w:val="28"/>
          <w:lang w:val="vi-VN"/>
        </w:rPr>
        <w:t xml:space="preserve">; </w:t>
      </w:r>
      <w:r w:rsidR="0017491C" w:rsidRPr="0017491C">
        <w:rPr>
          <w:noProof/>
          <w:color w:val="000000" w:themeColor="text1"/>
          <w:szCs w:val="28"/>
          <w:lang w:val="vi-VN"/>
        </w:rPr>
        <w:t>Báo cáo thẩm tra của Ban Kinh tế - Ngân sách HĐND tỉnh; ý kiến của đại biểu HĐND tỉnh,</w:t>
      </w:r>
    </w:p>
    <w:p w:rsidR="001674A7" w:rsidRPr="0032641A" w:rsidRDefault="001674A7" w:rsidP="0017491C">
      <w:pPr>
        <w:pStyle w:val="BodyTextIndent"/>
        <w:spacing w:before="120" w:after="120" w:line="288" w:lineRule="auto"/>
        <w:ind w:left="0" w:firstLine="720"/>
        <w:jc w:val="center"/>
        <w:rPr>
          <w:b/>
          <w:noProof/>
          <w:color w:val="000000" w:themeColor="text1"/>
          <w:szCs w:val="28"/>
          <w:lang w:val="vi-VN"/>
        </w:rPr>
      </w:pPr>
      <w:r w:rsidRPr="0032641A">
        <w:rPr>
          <w:b/>
          <w:noProof/>
          <w:color w:val="000000" w:themeColor="text1"/>
          <w:szCs w:val="28"/>
          <w:lang w:val="vi-VN"/>
        </w:rPr>
        <w:t>QUYẾT NGHỊ:</w:t>
      </w:r>
    </w:p>
    <w:p w:rsidR="001674A7" w:rsidRPr="0032641A" w:rsidRDefault="001674A7" w:rsidP="00E31FA7">
      <w:pPr>
        <w:pStyle w:val="BodyTextIndent"/>
        <w:spacing w:before="120" w:after="120" w:line="288" w:lineRule="auto"/>
        <w:ind w:left="0" w:firstLine="720"/>
        <w:rPr>
          <w:noProof/>
          <w:color w:val="000000" w:themeColor="text1"/>
          <w:szCs w:val="28"/>
          <w:lang w:val="vi-VN"/>
        </w:rPr>
      </w:pPr>
      <w:r w:rsidRPr="0032641A">
        <w:rPr>
          <w:b/>
          <w:noProof/>
          <w:color w:val="000000" w:themeColor="text1"/>
          <w:szCs w:val="28"/>
          <w:lang w:val="vi-VN"/>
        </w:rPr>
        <w:t xml:space="preserve">Điều 1. </w:t>
      </w:r>
      <w:r w:rsidRPr="0032641A">
        <w:rPr>
          <w:noProof/>
          <w:color w:val="000000" w:themeColor="text1"/>
          <w:szCs w:val="28"/>
          <w:lang w:val="vi-VN"/>
        </w:rPr>
        <w:t xml:space="preserve">Nhất trí thông qua dự toán ngân sách </w:t>
      </w:r>
      <w:r w:rsidR="00324980" w:rsidRPr="0032641A">
        <w:rPr>
          <w:noProof/>
          <w:color w:val="000000" w:themeColor="text1"/>
          <w:szCs w:val="28"/>
          <w:lang w:val="vi-VN"/>
        </w:rPr>
        <w:t>n</w:t>
      </w:r>
      <w:r w:rsidRPr="0032641A">
        <w:rPr>
          <w:noProof/>
          <w:color w:val="000000" w:themeColor="text1"/>
          <w:szCs w:val="28"/>
          <w:lang w:val="vi-VN"/>
        </w:rPr>
        <w:t>hà nước năm 201</w:t>
      </w:r>
      <w:r w:rsidR="00094D69" w:rsidRPr="00E62A1F">
        <w:rPr>
          <w:noProof/>
          <w:color w:val="000000" w:themeColor="text1"/>
          <w:szCs w:val="28"/>
          <w:lang w:val="vi-VN"/>
        </w:rPr>
        <w:t>9</w:t>
      </w:r>
      <w:r w:rsidRPr="0032641A">
        <w:rPr>
          <w:noProof/>
          <w:color w:val="000000" w:themeColor="text1"/>
          <w:szCs w:val="28"/>
          <w:lang w:val="vi-VN"/>
        </w:rPr>
        <w:t xml:space="preserve"> như sau:</w:t>
      </w:r>
    </w:p>
    <w:p w:rsidR="001674A7" w:rsidRPr="0032641A" w:rsidRDefault="001674A7" w:rsidP="00E31FA7">
      <w:pPr>
        <w:pStyle w:val="BodyTextIndent"/>
        <w:spacing w:before="120" w:after="120" w:line="288" w:lineRule="auto"/>
        <w:ind w:left="0" w:firstLine="720"/>
        <w:rPr>
          <w:noProof/>
          <w:color w:val="000000" w:themeColor="text1"/>
          <w:szCs w:val="28"/>
          <w:lang w:val="vi-VN"/>
        </w:rPr>
      </w:pPr>
      <w:r w:rsidRPr="0032641A">
        <w:rPr>
          <w:noProof/>
          <w:color w:val="000000" w:themeColor="text1"/>
          <w:szCs w:val="28"/>
          <w:lang w:val="vi-VN"/>
        </w:rPr>
        <w:t xml:space="preserve">1. Tổng thu ngân sách nhà nước trên địa bàn: </w:t>
      </w:r>
      <w:r w:rsidR="00135AA7" w:rsidRPr="0032641A">
        <w:rPr>
          <w:noProof/>
          <w:color w:val="000000" w:themeColor="text1"/>
          <w:szCs w:val="28"/>
          <w:lang w:val="vi-VN"/>
        </w:rPr>
        <w:t>9.380.000</w:t>
      </w:r>
      <w:r w:rsidR="00E71F03" w:rsidRPr="0032641A">
        <w:rPr>
          <w:noProof/>
          <w:color w:val="000000" w:themeColor="text1"/>
          <w:szCs w:val="28"/>
          <w:lang w:val="vi-VN"/>
        </w:rPr>
        <w:t xml:space="preserve"> </w:t>
      </w:r>
      <w:r w:rsidRPr="0032641A">
        <w:rPr>
          <w:noProof/>
          <w:color w:val="000000" w:themeColor="text1"/>
          <w:szCs w:val="28"/>
          <w:lang w:val="vi-VN"/>
        </w:rPr>
        <w:t>triệu đồng.</w:t>
      </w:r>
    </w:p>
    <w:p w:rsidR="001674A7" w:rsidRPr="0032641A" w:rsidRDefault="001674A7" w:rsidP="00E31FA7">
      <w:pPr>
        <w:pStyle w:val="BodyTextIndent"/>
        <w:spacing w:before="120" w:after="120" w:line="288" w:lineRule="auto"/>
        <w:ind w:left="0" w:firstLine="720"/>
        <w:rPr>
          <w:noProof/>
          <w:color w:val="000000" w:themeColor="text1"/>
          <w:spacing w:val="-3"/>
          <w:szCs w:val="28"/>
          <w:lang w:val="vi-VN"/>
        </w:rPr>
      </w:pPr>
      <w:r w:rsidRPr="0032641A">
        <w:rPr>
          <w:i/>
          <w:noProof/>
          <w:color w:val="000000" w:themeColor="text1"/>
          <w:spacing w:val="-3"/>
          <w:szCs w:val="28"/>
          <w:lang w:val="vi-VN"/>
        </w:rPr>
        <w:t xml:space="preserve">(Trong đó thu nội địa là </w:t>
      </w:r>
      <w:r w:rsidR="00243397" w:rsidRPr="0032641A">
        <w:rPr>
          <w:i/>
          <w:noProof/>
          <w:color w:val="000000" w:themeColor="text1"/>
          <w:spacing w:val="-3"/>
          <w:szCs w:val="28"/>
          <w:lang w:val="vi-VN"/>
        </w:rPr>
        <w:t>6.280.000</w:t>
      </w:r>
      <w:r w:rsidR="00243397" w:rsidRPr="00E62A1F">
        <w:rPr>
          <w:i/>
          <w:noProof/>
          <w:color w:val="000000" w:themeColor="text1"/>
          <w:spacing w:val="-3"/>
          <w:szCs w:val="28"/>
          <w:lang w:val="vi-VN"/>
        </w:rPr>
        <w:t xml:space="preserve"> </w:t>
      </w:r>
      <w:r w:rsidRPr="0032641A">
        <w:rPr>
          <w:i/>
          <w:noProof/>
          <w:color w:val="000000" w:themeColor="text1"/>
          <w:spacing w:val="-3"/>
          <w:szCs w:val="28"/>
          <w:lang w:val="vi-VN"/>
        </w:rPr>
        <w:t xml:space="preserve">triệu đồng, thu từ dầu thô là </w:t>
      </w:r>
      <w:r w:rsidR="00112639" w:rsidRPr="0032641A">
        <w:rPr>
          <w:i/>
          <w:noProof/>
          <w:color w:val="000000" w:themeColor="text1"/>
          <w:spacing w:val="-3"/>
          <w:szCs w:val="28"/>
          <w:lang w:val="vi-VN"/>
        </w:rPr>
        <w:t>1.</w:t>
      </w:r>
      <w:r w:rsidR="00684489" w:rsidRPr="00E62A1F">
        <w:rPr>
          <w:i/>
          <w:noProof/>
          <w:color w:val="000000" w:themeColor="text1"/>
          <w:spacing w:val="-3"/>
          <w:szCs w:val="28"/>
          <w:lang w:val="vi-VN"/>
        </w:rPr>
        <w:t>600</w:t>
      </w:r>
      <w:r w:rsidR="00112639" w:rsidRPr="0032641A">
        <w:rPr>
          <w:i/>
          <w:noProof/>
          <w:color w:val="000000" w:themeColor="text1"/>
          <w:spacing w:val="-3"/>
          <w:szCs w:val="28"/>
          <w:lang w:val="vi-VN"/>
        </w:rPr>
        <w:t>.000</w:t>
      </w:r>
      <w:r w:rsidR="00A03B40" w:rsidRPr="0032641A">
        <w:rPr>
          <w:i/>
          <w:noProof/>
          <w:color w:val="000000" w:themeColor="text1"/>
          <w:spacing w:val="-3"/>
          <w:szCs w:val="28"/>
          <w:lang w:val="vi-VN"/>
        </w:rPr>
        <w:t xml:space="preserve"> </w:t>
      </w:r>
      <w:r w:rsidRPr="0032641A">
        <w:rPr>
          <w:i/>
          <w:noProof/>
          <w:color w:val="000000" w:themeColor="text1"/>
          <w:spacing w:val="-3"/>
          <w:szCs w:val="28"/>
          <w:lang w:val="vi-VN"/>
        </w:rPr>
        <w:t xml:space="preserve">triệu đồng và thu từ hoạt động xuất, nhập khẩu là </w:t>
      </w:r>
      <w:r w:rsidR="003D5511" w:rsidRPr="0032641A">
        <w:rPr>
          <w:i/>
          <w:noProof/>
          <w:color w:val="000000" w:themeColor="text1"/>
          <w:spacing w:val="-3"/>
          <w:szCs w:val="28"/>
          <w:lang w:val="vi-VN"/>
        </w:rPr>
        <w:t>1.</w:t>
      </w:r>
      <w:r w:rsidR="004A51F1" w:rsidRPr="00E62A1F">
        <w:rPr>
          <w:i/>
          <w:noProof/>
          <w:color w:val="000000" w:themeColor="text1"/>
          <w:spacing w:val="-3"/>
          <w:szCs w:val="28"/>
          <w:lang w:val="vi-VN"/>
        </w:rPr>
        <w:t>5</w:t>
      </w:r>
      <w:r w:rsidR="003D5511" w:rsidRPr="0032641A">
        <w:rPr>
          <w:i/>
          <w:noProof/>
          <w:color w:val="000000" w:themeColor="text1"/>
          <w:spacing w:val="-3"/>
          <w:szCs w:val="28"/>
          <w:lang w:val="vi-VN"/>
        </w:rPr>
        <w:t>00.000</w:t>
      </w:r>
      <w:r w:rsidR="00A03B40" w:rsidRPr="0032641A">
        <w:rPr>
          <w:i/>
          <w:noProof/>
          <w:color w:val="000000" w:themeColor="text1"/>
          <w:spacing w:val="-3"/>
          <w:szCs w:val="28"/>
          <w:lang w:val="vi-VN"/>
        </w:rPr>
        <w:t xml:space="preserve"> </w:t>
      </w:r>
      <w:r w:rsidRPr="0032641A">
        <w:rPr>
          <w:i/>
          <w:noProof/>
          <w:color w:val="000000" w:themeColor="text1"/>
          <w:spacing w:val="-3"/>
          <w:szCs w:val="28"/>
          <w:lang w:val="vi-VN"/>
        </w:rPr>
        <w:t>triệu đồng</w:t>
      </w:r>
      <w:r w:rsidRPr="0032641A">
        <w:rPr>
          <w:noProof/>
          <w:color w:val="000000" w:themeColor="text1"/>
          <w:spacing w:val="-3"/>
          <w:szCs w:val="28"/>
          <w:lang w:val="vi-VN"/>
        </w:rPr>
        <w:t>)</w:t>
      </w:r>
    </w:p>
    <w:p w:rsidR="001674A7" w:rsidRPr="0032641A" w:rsidRDefault="001674A7" w:rsidP="00E31FA7">
      <w:pPr>
        <w:pStyle w:val="BodyTextIndent"/>
        <w:spacing w:before="120" w:after="120" w:line="288" w:lineRule="auto"/>
        <w:ind w:left="0" w:firstLine="720"/>
        <w:rPr>
          <w:noProof/>
          <w:color w:val="000000" w:themeColor="text1"/>
          <w:szCs w:val="28"/>
          <w:lang w:val="vi-VN"/>
        </w:rPr>
      </w:pPr>
      <w:r w:rsidRPr="0032641A">
        <w:rPr>
          <w:noProof/>
          <w:color w:val="000000" w:themeColor="text1"/>
          <w:szCs w:val="28"/>
          <w:lang w:val="vi-VN"/>
        </w:rPr>
        <w:t xml:space="preserve">2. Tổng chi ngân sách địa phương: </w:t>
      </w:r>
      <w:r w:rsidR="00755E63" w:rsidRPr="0032641A">
        <w:rPr>
          <w:noProof/>
          <w:color w:val="000000" w:themeColor="text1"/>
          <w:szCs w:val="28"/>
          <w:lang w:val="vi-VN"/>
        </w:rPr>
        <w:t>9.527.455</w:t>
      </w:r>
      <w:r w:rsidR="00A03B40" w:rsidRPr="0032641A">
        <w:rPr>
          <w:noProof/>
          <w:color w:val="000000" w:themeColor="text1"/>
          <w:szCs w:val="28"/>
          <w:lang w:val="vi-VN"/>
        </w:rPr>
        <w:t xml:space="preserve"> </w:t>
      </w:r>
      <w:r w:rsidRPr="0032641A">
        <w:rPr>
          <w:noProof/>
          <w:color w:val="000000" w:themeColor="text1"/>
          <w:szCs w:val="28"/>
          <w:lang w:val="vi-VN"/>
        </w:rPr>
        <w:t xml:space="preserve">triệu đồng. </w:t>
      </w:r>
    </w:p>
    <w:p w:rsidR="001674A7" w:rsidRPr="0032641A" w:rsidRDefault="001674A7" w:rsidP="00E31FA7">
      <w:pPr>
        <w:pStyle w:val="BodyTextIndent"/>
        <w:spacing w:before="120" w:after="120" w:line="288" w:lineRule="auto"/>
        <w:ind w:left="0" w:firstLine="720"/>
        <w:rPr>
          <w:i/>
          <w:noProof/>
          <w:color w:val="000000" w:themeColor="text1"/>
          <w:szCs w:val="28"/>
          <w:lang w:val="vi-VN"/>
        </w:rPr>
      </w:pPr>
      <w:r w:rsidRPr="0032641A">
        <w:rPr>
          <w:i/>
          <w:noProof/>
          <w:color w:val="000000" w:themeColor="text1"/>
          <w:szCs w:val="28"/>
          <w:lang w:val="vi-VN"/>
        </w:rPr>
        <w:t>(Kèm theo các phụ lục I và II)</w:t>
      </w:r>
    </w:p>
    <w:p w:rsidR="001674A7" w:rsidRPr="0032641A" w:rsidRDefault="001674A7" w:rsidP="00E31FA7">
      <w:pPr>
        <w:pStyle w:val="BodyTextIndent"/>
        <w:spacing w:before="120" w:after="120" w:line="288" w:lineRule="auto"/>
        <w:ind w:left="0" w:firstLine="720"/>
        <w:rPr>
          <w:noProof/>
          <w:color w:val="000000" w:themeColor="text1"/>
          <w:spacing w:val="-2"/>
          <w:szCs w:val="28"/>
          <w:lang w:val="vi-VN"/>
        </w:rPr>
      </w:pPr>
      <w:r w:rsidRPr="0032641A">
        <w:rPr>
          <w:b/>
          <w:noProof/>
          <w:color w:val="000000" w:themeColor="text1"/>
          <w:spacing w:val="-2"/>
          <w:szCs w:val="28"/>
          <w:lang w:val="vi-VN"/>
        </w:rPr>
        <w:t>Điều 2.</w:t>
      </w:r>
      <w:r w:rsidRPr="0032641A">
        <w:rPr>
          <w:noProof/>
          <w:color w:val="000000" w:themeColor="text1"/>
          <w:spacing w:val="-2"/>
          <w:szCs w:val="28"/>
          <w:lang w:val="vi-VN"/>
        </w:rPr>
        <w:t xml:space="preserve"> Nhất trí phương án phân bổ ngân sách địa phương năm 201</w:t>
      </w:r>
      <w:r w:rsidR="004E0555" w:rsidRPr="00E62A1F">
        <w:rPr>
          <w:noProof/>
          <w:color w:val="000000" w:themeColor="text1"/>
          <w:spacing w:val="-2"/>
          <w:szCs w:val="28"/>
          <w:lang w:val="vi-VN"/>
        </w:rPr>
        <w:t>9</w:t>
      </w:r>
      <w:r w:rsidRPr="0032641A">
        <w:rPr>
          <w:noProof/>
          <w:color w:val="000000" w:themeColor="text1"/>
          <w:spacing w:val="-2"/>
          <w:szCs w:val="28"/>
          <w:lang w:val="vi-VN"/>
        </w:rPr>
        <w:t xml:space="preserve"> như sau:</w:t>
      </w:r>
    </w:p>
    <w:p w:rsidR="001674A7" w:rsidRPr="0032641A" w:rsidRDefault="001674A7" w:rsidP="00743FAD">
      <w:pPr>
        <w:pStyle w:val="BodyTextIndent"/>
        <w:numPr>
          <w:ilvl w:val="0"/>
          <w:numId w:val="2"/>
        </w:numPr>
        <w:spacing w:before="120" w:after="120" w:line="288" w:lineRule="auto"/>
        <w:ind w:left="0" w:firstLine="709"/>
        <w:rPr>
          <w:noProof/>
          <w:color w:val="000000" w:themeColor="text1"/>
          <w:szCs w:val="28"/>
          <w:lang w:val="vi-VN"/>
        </w:rPr>
      </w:pPr>
      <w:r w:rsidRPr="0032641A">
        <w:rPr>
          <w:noProof/>
          <w:color w:val="000000" w:themeColor="text1"/>
          <w:szCs w:val="28"/>
          <w:lang w:val="vi-VN"/>
        </w:rPr>
        <w:t xml:space="preserve">Tổng thu cân đối ngân sách cấp tỉnh </w:t>
      </w:r>
      <w:r w:rsidR="00AB3288" w:rsidRPr="0032641A">
        <w:rPr>
          <w:noProof/>
          <w:color w:val="000000" w:themeColor="text1"/>
          <w:szCs w:val="28"/>
          <w:lang w:val="vi-VN"/>
        </w:rPr>
        <w:t xml:space="preserve">là </w:t>
      </w:r>
      <w:r w:rsidR="009E44F4" w:rsidRPr="0032641A">
        <w:rPr>
          <w:noProof/>
          <w:color w:val="000000" w:themeColor="text1"/>
          <w:szCs w:val="28"/>
          <w:lang w:val="vi-VN"/>
        </w:rPr>
        <w:t>8.171.555</w:t>
      </w:r>
      <w:r w:rsidR="00AB3288" w:rsidRPr="0032641A">
        <w:rPr>
          <w:noProof/>
          <w:color w:val="000000" w:themeColor="text1"/>
          <w:szCs w:val="28"/>
          <w:lang w:val="vi-VN"/>
        </w:rPr>
        <w:t xml:space="preserve"> triệu đồng </w:t>
      </w:r>
      <w:r w:rsidRPr="0032641A">
        <w:rPr>
          <w:noProof/>
          <w:color w:val="000000" w:themeColor="text1"/>
          <w:szCs w:val="28"/>
          <w:lang w:val="vi-VN"/>
        </w:rPr>
        <w:t xml:space="preserve">(bao gồm thu ngân sách cấp tỉnh được hưởng theo phân cấp là </w:t>
      </w:r>
      <w:r w:rsidR="00AB4ACA" w:rsidRPr="0032641A">
        <w:rPr>
          <w:noProof/>
          <w:color w:val="000000" w:themeColor="text1"/>
          <w:szCs w:val="28"/>
          <w:lang w:val="vi-VN"/>
        </w:rPr>
        <w:t>4.396.153</w:t>
      </w:r>
      <w:r w:rsidRPr="0032641A">
        <w:rPr>
          <w:noProof/>
          <w:color w:val="000000" w:themeColor="text1"/>
          <w:szCs w:val="28"/>
          <w:lang w:val="vi-VN"/>
        </w:rPr>
        <w:t xml:space="preserve"> triệu đồng, thu bổ sung từ ngân sách Trung ương cho ngân sách tỉnh là </w:t>
      </w:r>
      <w:r w:rsidR="00243D5F" w:rsidRPr="0032641A">
        <w:rPr>
          <w:noProof/>
          <w:color w:val="000000" w:themeColor="text1"/>
          <w:szCs w:val="28"/>
          <w:lang w:val="vi-VN"/>
        </w:rPr>
        <w:t>3.723.702</w:t>
      </w:r>
      <w:r w:rsidRPr="0032641A">
        <w:rPr>
          <w:noProof/>
          <w:color w:val="000000" w:themeColor="text1"/>
          <w:szCs w:val="28"/>
          <w:lang w:val="vi-VN"/>
        </w:rPr>
        <w:t xml:space="preserve"> triệu đồng</w:t>
      </w:r>
      <w:r w:rsidR="00FF3B3D" w:rsidRPr="00E62A1F">
        <w:rPr>
          <w:noProof/>
          <w:color w:val="000000" w:themeColor="text1"/>
          <w:szCs w:val="28"/>
          <w:lang w:val="vi-VN"/>
        </w:rPr>
        <w:t xml:space="preserve"> và thu từ vay </w:t>
      </w:r>
      <w:r w:rsidR="00FF3B3D" w:rsidRPr="00E62A1F">
        <w:rPr>
          <w:noProof/>
          <w:color w:val="000000" w:themeColor="text1"/>
          <w:szCs w:val="28"/>
          <w:lang w:val="vi-VN"/>
        </w:rPr>
        <w:lastRenderedPageBreak/>
        <w:t>Trung ương là 51.700 triệu đồng</w:t>
      </w:r>
      <w:r w:rsidRPr="0032641A">
        <w:rPr>
          <w:noProof/>
          <w:color w:val="000000" w:themeColor="text1"/>
          <w:szCs w:val="28"/>
          <w:lang w:val="vi-VN"/>
        </w:rPr>
        <w:t xml:space="preserve">), chiếm </w:t>
      </w:r>
      <w:r w:rsidR="00FF3B3D" w:rsidRPr="0032641A">
        <w:rPr>
          <w:noProof/>
          <w:color w:val="000000" w:themeColor="text1"/>
          <w:szCs w:val="28"/>
          <w:lang w:val="vi-VN"/>
        </w:rPr>
        <w:t>85,77%</w:t>
      </w:r>
      <w:r w:rsidRPr="0032641A">
        <w:rPr>
          <w:noProof/>
          <w:color w:val="000000" w:themeColor="text1"/>
          <w:szCs w:val="28"/>
          <w:lang w:val="vi-VN"/>
        </w:rPr>
        <w:t xml:space="preserve"> tổng thu ngân sách địa phương. Tổng thu cân đối ngân sách huyện, thị xã, thành phố là </w:t>
      </w:r>
      <w:r w:rsidR="00277B14" w:rsidRPr="0032641A">
        <w:rPr>
          <w:noProof/>
          <w:color w:val="000000" w:themeColor="text1"/>
          <w:szCs w:val="28"/>
          <w:lang w:val="vi-VN"/>
        </w:rPr>
        <w:t>1.355.900</w:t>
      </w:r>
      <w:r w:rsidRPr="0032641A">
        <w:rPr>
          <w:noProof/>
          <w:color w:val="000000" w:themeColor="text1"/>
          <w:szCs w:val="28"/>
          <w:lang w:val="vi-VN"/>
        </w:rPr>
        <w:t xml:space="preserve"> triệu đồng, chiếm </w:t>
      </w:r>
      <w:r w:rsidR="00CB198A" w:rsidRPr="0032641A">
        <w:rPr>
          <w:noProof/>
          <w:color w:val="000000" w:themeColor="text1"/>
          <w:szCs w:val="28"/>
          <w:lang w:val="vi-VN"/>
        </w:rPr>
        <w:t>14,23%</w:t>
      </w:r>
      <w:r w:rsidRPr="0032641A">
        <w:rPr>
          <w:noProof/>
          <w:color w:val="000000" w:themeColor="text1"/>
          <w:szCs w:val="28"/>
          <w:lang w:val="vi-VN"/>
        </w:rPr>
        <w:t xml:space="preserve"> tổng thu ngân sách địa phương.</w:t>
      </w:r>
    </w:p>
    <w:p w:rsidR="001674A7" w:rsidRPr="0032641A" w:rsidRDefault="001674A7" w:rsidP="00E45A2C">
      <w:pPr>
        <w:pStyle w:val="BodyTextIndent"/>
        <w:numPr>
          <w:ilvl w:val="0"/>
          <w:numId w:val="2"/>
        </w:numPr>
        <w:spacing w:before="120" w:after="120" w:line="288" w:lineRule="auto"/>
        <w:ind w:left="0" w:firstLine="709"/>
        <w:rPr>
          <w:noProof/>
          <w:color w:val="000000" w:themeColor="text1"/>
          <w:szCs w:val="28"/>
          <w:lang w:val="vi-VN"/>
        </w:rPr>
      </w:pPr>
      <w:r w:rsidRPr="0032641A">
        <w:rPr>
          <w:noProof/>
          <w:color w:val="000000" w:themeColor="text1"/>
          <w:szCs w:val="28"/>
          <w:lang w:val="vi-VN"/>
        </w:rPr>
        <w:t xml:space="preserve">Tổng chi cân đối ngân sách cấp tỉnh là </w:t>
      </w:r>
      <w:r w:rsidR="0004468B" w:rsidRPr="0032641A">
        <w:rPr>
          <w:noProof/>
          <w:color w:val="000000" w:themeColor="text1"/>
          <w:szCs w:val="28"/>
          <w:lang w:val="vi-VN"/>
        </w:rPr>
        <w:t>8.171.555</w:t>
      </w:r>
      <w:r w:rsidRPr="0032641A">
        <w:rPr>
          <w:noProof/>
          <w:color w:val="000000" w:themeColor="text1"/>
          <w:szCs w:val="28"/>
          <w:lang w:val="vi-VN"/>
        </w:rPr>
        <w:t xml:space="preserve"> triệu đồng. Sau khi bổ sung cân đối, bổ sung có mục tiêu cho ngân sách huyện, thị xã, thành phố là </w:t>
      </w:r>
      <w:r w:rsidR="001E0267" w:rsidRPr="0032641A">
        <w:rPr>
          <w:noProof/>
          <w:color w:val="000000" w:themeColor="text1"/>
          <w:szCs w:val="28"/>
          <w:lang w:val="vi-VN"/>
        </w:rPr>
        <w:t>2.498.351</w:t>
      </w:r>
      <w:r w:rsidRPr="0032641A">
        <w:rPr>
          <w:noProof/>
          <w:color w:val="000000" w:themeColor="text1"/>
          <w:szCs w:val="28"/>
          <w:lang w:val="vi-VN"/>
        </w:rPr>
        <w:t xml:space="preserve"> triệu đồng thì tổng số thực chi cân đối ngân sách tỉnh là </w:t>
      </w:r>
      <w:r w:rsidR="001E0267" w:rsidRPr="0032641A">
        <w:rPr>
          <w:noProof/>
          <w:color w:val="000000" w:themeColor="text1"/>
          <w:szCs w:val="28"/>
          <w:lang w:val="vi-VN"/>
        </w:rPr>
        <w:t>5.673.204</w:t>
      </w:r>
      <w:r w:rsidRPr="0032641A">
        <w:rPr>
          <w:noProof/>
          <w:color w:val="000000" w:themeColor="text1"/>
          <w:szCs w:val="28"/>
          <w:lang w:val="vi-VN"/>
        </w:rPr>
        <w:t xml:space="preserve"> triệu đồng, chiếm </w:t>
      </w:r>
      <w:r w:rsidR="0084497E" w:rsidRPr="0032641A">
        <w:rPr>
          <w:noProof/>
          <w:color w:val="000000" w:themeColor="text1"/>
          <w:szCs w:val="28"/>
          <w:lang w:val="vi-VN"/>
        </w:rPr>
        <w:t>59,55%</w:t>
      </w:r>
      <w:r w:rsidRPr="0032641A">
        <w:rPr>
          <w:noProof/>
          <w:color w:val="000000" w:themeColor="text1"/>
          <w:szCs w:val="28"/>
          <w:lang w:val="vi-VN"/>
        </w:rPr>
        <w:t xml:space="preserve"> tổng chi ngân sách địa phương. Tổng chi cân đối ngân sách huyện, thị xã, thành phố (bao gồm cả bổ sung từ ngân sách tỉnh cho ngân sách huyện, thị xã, thành phố) là </w:t>
      </w:r>
      <w:r w:rsidR="003C7EAA" w:rsidRPr="0032641A">
        <w:rPr>
          <w:noProof/>
          <w:color w:val="000000" w:themeColor="text1"/>
          <w:szCs w:val="28"/>
          <w:lang w:val="vi-VN"/>
        </w:rPr>
        <w:t>3.854.251</w:t>
      </w:r>
      <w:r w:rsidRPr="0032641A">
        <w:rPr>
          <w:noProof/>
          <w:color w:val="000000" w:themeColor="text1"/>
          <w:szCs w:val="28"/>
          <w:lang w:val="vi-VN"/>
        </w:rPr>
        <w:t xml:space="preserve"> triệu đồng, chiếm </w:t>
      </w:r>
      <w:r w:rsidR="003C7EAA" w:rsidRPr="0032641A">
        <w:rPr>
          <w:noProof/>
          <w:color w:val="000000" w:themeColor="text1"/>
          <w:szCs w:val="28"/>
          <w:lang w:val="vi-VN"/>
        </w:rPr>
        <w:t>40,45%</w:t>
      </w:r>
      <w:r w:rsidRPr="0032641A">
        <w:rPr>
          <w:noProof/>
          <w:color w:val="000000" w:themeColor="text1"/>
          <w:szCs w:val="28"/>
          <w:lang w:val="vi-VN"/>
        </w:rPr>
        <w:t xml:space="preserve"> tổng chi ngân sách địa phương.</w:t>
      </w:r>
    </w:p>
    <w:p w:rsidR="001674A7" w:rsidRPr="0032641A" w:rsidRDefault="001674A7" w:rsidP="00E31FA7">
      <w:pPr>
        <w:pStyle w:val="BodyTextIndent"/>
        <w:spacing w:before="120" w:after="120" w:line="288" w:lineRule="auto"/>
        <w:ind w:left="0" w:firstLine="720"/>
        <w:rPr>
          <w:noProof/>
          <w:color w:val="000000" w:themeColor="text1"/>
          <w:szCs w:val="28"/>
          <w:lang w:val="vi-VN"/>
        </w:rPr>
      </w:pPr>
      <w:r w:rsidRPr="0017491C">
        <w:rPr>
          <w:noProof/>
          <w:color w:val="000000" w:themeColor="text1"/>
          <w:szCs w:val="28"/>
          <w:lang w:val="vi-VN"/>
        </w:rPr>
        <w:t>3.</w:t>
      </w:r>
      <w:r w:rsidRPr="0032641A">
        <w:rPr>
          <w:noProof/>
          <w:color w:val="000000" w:themeColor="text1"/>
          <w:szCs w:val="28"/>
          <w:lang w:val="vi-VN"/>
        </w:rPr>
        <w:t xml:space="preserve"> Phân bổ ngân sách cấp tỉnh năm 201</w:t>
      </w:r>
      <w:r w:rsidR="00B053C9" w:rsidRPr="00E62A1F">
        <w:rPr>
          <w:noProof/>
          <w:color w:val="000000" w:themeColor="text1"/>
          <w:szCs w:val="28"/>
          <w:lang w:val="vi-VN"/>
        </w:rPr>
        <w:t>9</w:t>
      </w:r>
      <w:r w:rsidRPr="0032641A">
        <w:rPr>
          <w:noProof/>
          <w:color w:val="000000" w:themeColor="text1"/>
          <w:szCs w:val="28"/>
          <w:lang w:val="vi-VN"/>
        </w:rPr>
        <w:t xml:space="preserve"> cho từng sở, ban, ngành</w:t>
      </w:r>
      <w:r w:rsidR="00E0011A" w:rsidRPr="0032641A">
        <w:rPr>
          <w:noProof/>
          <w:color w:val="000000" w:themeColor="text1"/>
          <w:szCs w:val="28"/>
          <w:lang w:val="vi-VN"/>
        </w:rPr>
        <w:t>, đoàn thể</w:t>
      </w:r>
      <w:r w:rsidRPr="0032641A">
        <w:rPr>
          <w:noProof/>
          <w:color w:val="000000" w:themeColor="text1"/>
          <w:szCs w:val="28"/>
          <w:lang w:val="vi-VN"/>
        </w:rPr>
        <w:t xml:space="preserve"> </w:t>
      </w:r>
      <w:r w:rsidR="00130B36" w:rsidRPr="0032641A">
        <w:rPr>
          <w:noProof/>
          <w:color w:val="000000" w:themeColor="text1"/>
          <w:szCs w:val="28"/>
          <w:lang w:val="vi-VN"/>
        </w:rPr>
        <w:t xml:space="preserve">cấp </w:t>
      </w:r>
      <w:r w:rsidRPr="0032641A">
        <w:rPr>
          <w:noProof/>
          <w:color w:val="000000" w:themeColor="text1"/>
          <w:szCs w:val="28"/>
          <w:lang w:val="vi-VN"/>
        </w:rPr>
        <w:t>tỉnh và mức bổ sung từ ngân sách tỉnh cho ngân sách từng huyện, thị xã, thành phố theo các phụ lục III, IV, V kèm theo.</w:t>
      </w:r>
    </w:p>
    <w:p w:rsidR="001674A7" w:rsidRPr="0032641A" w:rsidRDefault="001674A7" w:rsidP="00E31FA7">
      <w:pPr>
        <w:pStyle w:val="BodyTextIndent"/>
        <w:spacing w:before="120" w:after="120" w:line="288" w:lineRule="auto"/>
        <w:ind w:left="0" w:firstLine="720"/>
        <w:rPr>
          <w:noProof/>
          <w:color w:val="000000" w:themeColor="text1"/>
          <w:szCs w:val="28"/>
          <w:lang w:val="vi-VN"/>
        </w:rPr>
      </w:pPr>
      <w:r w:rsidRPr="0032641A">
        <w:rPr>
          <w:b/>
          <w:noProof/>
          <w:color w:val="000000" w:themeColor="text1"/>
          <w:szCs w:val="28"/>
          <w:lang w:val="vi-VN"/>
        </w:rPr>
        <w:t>Điều 3.</w:t>
      </w:r>
      <w:r w:rsidRPr="0032641A">
        <w:rPr>
          <w:noProof/>
          <w:color w:val="000000" w:themeColor="text1"/>
          <w:szCs w:val="28"/>
          <w:lang w:val="vi-VN"/>
        </w:rPr>
        <w:t xml:space="preserve"> </w:t>
      </w:r>
      <w:r w:rsidR="0017491C">
        <w:rPr>
          <w:noProof/>
          <w:color w:val="000000" w:themeColor="text1"/>
          <w:szCs w:val="28"/>
        </w:rPr>
        <w:t>HĐND</w:t>
      </w:r>
      <w:r w:rsidRPr="0032641A">
        <w:rPr>
          <w:noProof/>
          <w:color w:val="000000" w:themeColor="text1"/>
          <w:szCs w:val="28"/>
          <w:lang w:val="vi-VN"/>
        </w:rPr>
        <w:t xml:space="preserve"> tỉnh tán thành các biện pháp thực hiện dự toán thu, chi ngân sách nhà nước và phương án phân bổ ngân sách địa phương năm 201</w:t>
      </w:r>
      <w:r w:rsidR="004E0555" w:rsidRPr="00E62A1F">
        <w:rPr>
          <w:noProof/>
          <w:color w:val="000000" w:themeColor="text1"/>
          <w:szCs w:val="28"/>
          <w:lang w:val="vi-VN"/>
        </w:rPr>
        <w:t>9</w:t>
      </w:r>
      <w:r w:rsidRPr="0032641A">
        <w:rPr>
          <w:noProof/>
          <w:color w:val="000000" w:themeColor="text1"/>
          <w:szCs w:val="28"/>
          <w:lang w:val="vi-VN"/>
        </w:rPr>
        <w:t xml:space="preserve"> do UBND tỉnh trình và báo cáo thẩm tra của Ban Kinh tế </w:t>
      </w:r>
      <w:r w:rsidR="0017491C">
        <w:rPr>
          <w:noProof/>
          <w:color w:val="000000" w:themeColor="text1"/>
          <w:szCs w:val="28"/>
        </w:rPr>
        <w:t>-</w:t>
      </w:r>
      <w:r w:rsidRPr="0032641A">
        <w:rPr>
          <w:noProof/>
          <w:color w:val="000000" w:themeColor="text1"/>
          <w:szCs w:val="28"/>
          <w:lang w:val="vi-VN"/>
        </w:rPr>
        <w:t xml:space="preserve"> Ngân sách</w:t>
      </w:r>
      <w:r w:rsidR="0017491C">
        <w:rPr>
          <w:noProof/>
          <w:color w:val="000000" w:themeColor="text1"/>
          <w:szCs w:val="28"/>
        </w:rPr>
        <w:t xml:space="preserve"> HĐND tỉnh</w:t>
      </w:r>
      <w:r w:rsidRPr="0032641A">
        <w:rPr>
          <w:noProof/>
          <w:color w:val="000000" w:themeColor="text1"/>
          <w:szCs w:val="28"/>
          <w:lang w:val="vi-VN"/>
        </w:rPr>
        <w:t>, đồng thời nhấn mạnh những biện pháp chủ yếu sau đây:</w:t>
      </w:r>
    </w:p>
    <w:p w:rsidR="001674A7" w:rsidRPr="0032641A" w:rsidRDefault="0017491C" w:rsidP="0017491C">
      <w:pPr>
        <w:pStyle w:val="BodyTextIndent"/>
        <w:spacing w:before="120" w:after="120" w:line="288" w:lineRule="auto"/>
        <w:ind w:left="0" w:firstLine="720"/>
        <w:rPr>
          <w:noProof/>
          <w:color w:val="000000" w:themeColor="text1"/>
          <w:spacing w:val="2"/>
          <w:szCs w:val="28"/>
          <w:lang w:val="vi-VN"/>
        </w:rPr>
      </w:pPr>
      <w:r w:rsidRPr="0017491C">
        <w:rPr>
          <w:noProof/>
          <w:color w:val="000000" w:themeColor="text1"/>
          <w:spacing w:val="2"/>
          <w:szCs w:val="28"/>
        </w:rPr>
        <w:t>1.</w:t>
      </w:r>
      <w:r>
        <w:rPr>
          <w:noProof/>
          <w:color w:val="000000" w:themeColor="text1"/>
          <w:spacing w:val="2"/>
          <w:szCs w:val="28"/>
        </w:rPr>
        <w:t xml:space="preserve"> </w:t>
      </w:r>
      <w:r w:rsidR="001674A7" w:rsidRPr="0032641A">
        <w:rPr>
          <w:noProof/>
          <w:color w:val="000000" w:themeColor="text1"/>
          <w:spacing w:val="2"/>
          <w:szCs w:val="28"/>
          <w:lang w:val="vi-VN"/>
        </w:rPr>
        <w:t xml:space="preserve">Tiếp tục thực hiện có hiệu quả chỉ đạo của Chính phủ về chính sách tài khóa chặt chẽ, tiết kiệm để góp phần cùng Trung ương thực hiện kiểm soát lạm phát, </w:t>
      </w:r>
      <w:r w:rsidR="00A61A89" w:rsidRPr="0032641A">
        <w:rPr>
          <w:noProof/>
          <w:color w:val="000000" w:themeColor="text1"/>
          <w:spacing w:val="2"/>
          <w:szCs w:val="28"/>
          <w:lang w:val="vi-VN"/>
        </w:rPr>
        <w:t xml:space="preserve">giữ vững </w:t>
      </w:r>
      <w:r w:rsidR="001674A7" w:rsidRPr="0032641A">
        <w:rPr>
          <w:noProof/>
          <w:color w:val="000000" w:themeColor="text1"/>
          <w:spacing w:val="2"/>
          <w:szCs w:val="28"/>
          <w:lang w:val="vi-VN"/>
        </w:rPr>
        <w:t xml:space="preserve">ổn định kinh tế vĩ mô, </w:t>
      </w:r>
      <w:r w:rsidR="00A61A89" w:rsidRPr="0032641A">
        <w:rPr>
          <w:noProof/>
          <w:color w:val="000000" w:themeColor="text1"/>
          <w:spacing w:val="2"/>
          <w:szCs w:val="28"/>
          <w:lang w:val="vi-VN"/>
        </w:rPr>
        <w:t>chú trọng cải thiện chất lượng tăng trưởng, bảo đảm phát triển bền vững; thực hiện tiến bộ công bằng xã hội, bảo đảm an sinh xã hội, nâng cao phúc lợi xã hội và cải thiện đời sống nhân dân</w:t>
      </w:r>
      <w:r w:rsidR="001674A7" w:rsidRPr="0032641A">
        <w:rPr>
          <w:noProof/>
          <w:color w:val="000000" w:themeColor="text1"/>
          <w:spacing w:val="2"/>
          <w:szCs w:val="28"/>
          <w:lang w:val="vi-VN"/>
        </w:rPr>
        <w:t xml:space="preserve">. </w:t>
      </w:r>
      <w:r w:rsidR="00803395" w:rsidRPr="00803395">
        <w:rPr>
          <w:noProof/>
          <w:color w:val="000000" w:themeColor="text1"/>
          <w:spacing w:val="2"/>
          <w:szCs w:val="28"/>
        </w:rPr>
        <w:t xml:space="preserve">Chấp hành nghiêm Chỉ thị số 31/CT-TTg ngày 08/11/2018 của Thủ tướng Chính phủ về việc chấn chỉnh, tăng cường kỷ luật, kỷ cương trong việc chấp hành </w:t>
      </w:r>
      <w:r w:rsidR="002F6D0A">
        <w:rPr>
          <w:noProof/>
          <w:color w:val="000000" w:themeColor="text1"/>
          <w:spacing w:val="2"/>
          <w:szCs w:val="28"/>
        </w:rPr>
        <w:t>pháp luật về ngân sách nhà nước</w:t>
      </w:r>
      <w:r w:rsidR="00074A34">
        <w:rPr>
          <w:noProof/>
          <w:color w:val="000000" w:themeColor="text1"/>
          <w:spacing w:val="2"/>
          <w:szCs w:val="28"/>
        </w:rPr>
        <w:t>. Đẩy</w:t>
      </w:r>
      <w:r w:rsidR="001674A7" w:rsidRPr="0032641A">
        <w:rPr>
          <w:noProof/>
          <w:color w:val="000000" w:themeColor="text1"/>
          <w:spacing w:val="2"/>
          <w:szCs w:val="28"/>
          <w:lang w:val="vi-VN"/>
        </w:rPr>
        <w:t xml:space="preserve"> </w:t>
      </w:r>
      <w:r w:rsidR="00A61A89" w:rsidRPr="0032641A">
        <w:rPr>
          <w:noProof/>
          <w:color w:val="000000" w:themeColor="text1"/>
          <w:spacing w:val="2"/>
          <w:szCs w:val="28"/>
          <w:lang w:val="vi-VN"/>
        </w:rPr>
        <w:t xml:space="preserve">mạnh cải cách hành chính, nâng cao hiệu lực, hiệu quả quản lý nhà nước; tạo sự chuyển biến rõ nét về phòng, chống tham nhũng, thực hành tiết kiệm, chống lãng phí; </w:t>
      </w:r>
      <w:r w:rsidR="001674A7" w:rsidRPr="0032641A">
        <w:rPr>
          <w:noProof/>
          <w:color w:val="000000" w:themeColor="text1"/>
          <w:spacing w:val="2"/>
          <w:szCs w:val="28"/>
          <w:lang w:val="vi-VN"/>
        </w:rPr>
        <w:t xml:space="preserve">tập trung thực hiện các giải pháp tháo gỡ khó khăn, vướng mắc, tạo môi trường thuận lợi cho hoạt động đầu tư, sản xuất kinh doanh góp phần thúc đẩy phát triển sản xuất, tạo nguồn thu ổn định cho ngân sách. </w:t>
      </w:r>
    </w:p>
    <w:p w:rsidR="001674A7" w:rsidRPr="00803395" w:rsidRDefault="001674A7" w:rsidP="00E31FA7">
      <w:pPr>
        <w:pStyle w:val="BodyTextIndent"/>
        <w:spacing w:before="120" w:after="120" w:line="288" w:lineRule="auto"/>
        <w:ind w:left="0" w:firstLine="720"/>
        <w:rPr>
          <w:noProof/>
          <w:color w:val="000000" w:themeColor="text1"/>
          <w:szCs w:val="28"/>
        </w:rPr>
      </w:pPr>
      <w:r w:rsidRPr="0032641A">
        <w:rPr>
          <w:noProof/>
          <w:color w:val="000000" w:themeColor="text1"/>
          <w:szCs w:val="28"/>
          <w:lang w:val="vi-VN"/>
        </w:rPr>
        <w:t>Tổ chức thực hiện tốt các Luật thuế mới; đẩy mạnh các biện pháp chống thất thu</w:t>
      </w:r>
      <w:r w:rsidR="00C20B29">
        <w:rPr>
          <w:noProof/>
          <w:color w:val="000000" w:themeColor="text1"/>
          <w:szCs w:val="28"/>
        </w:rPr>
        <w:t xml:space="preserve">, </w:t>
      </w:r>
      <w:r w:rsidR="002F6D0A">
        <w:rPr>
          <w:noProof/>
          <w:color w:val="000000" w:themeColor="text1"/>
          <w:szCs w:val="28"/>
        </w:rPr>
        <w:t>phấn đấu</w:t>
      </w:r>
      <w:r w:rsidR="00C20B29" w:rsidRPr="00803395">
        <w:rPr>
          <w:noProof/>
          <w:color w:val="000000" w:themeColor="text1"/>
          <w:szCs w:val="28"/>
        </w:rPr>
        <w:t xml:space="preserve"> tỷ lệ nợ thuế </w:t>
      </w:r>
      <w:r w:rsidR="00771BC1" w:rsidRPr="00803395">
        <w:rPr>
          <w:noProof/>
          <w:color w:val="000000" w:themeColor="text1"/>
          <w:szCs w:val="28"/>
        </w:rPr>
        <w:t xml:space="preserve">không quá </w:t>
      </w:r>
      <w:r w:rsidR="00C20B29" w:rsidRPr="00803395">
        <w:rPr>
          <w:noProof/>
          <w:color w:val="000000" w:themeColor="text1"/>
          <w:szCs w:val="28"/>
        </w:rPr>
        <w:t xml:space="preserve">5% </w:t>
      </w:r>
      <w:r w:rsidR="002F6D0A">
        <w:rPr>
          <w:noProof/>
          <w:color w:val="000000" w:themeColor="text1"/>
          <w:szCs w:val="28"/>
        </w:rPr>
        <w:t xml:space="preserve">số thực </w:t>
      </w:r>
      <w:r w:rsidR="00803395" w:rsidRPr="00803395">
        <w:rPr>
          <w:noProof/>
          <w:color w:val="000000" w:themeColor="text1"/>
          <w:szCs w:val="28"/>
        </w:rPr>
        <w:t>thu ngân sách nhà nước</w:t>
      </w:r>
      <w:r w:rsidRPr="0032641A">
        <w:rPr>
          <w:noProof/>
          <w:color w:val="000000" w:themeColor="text1"/>
          <w:szCs w:val="28"/>
          <w:lang w:val="vi-VN"/>
        </w:rPr>
        <w:t>; thực hiện thu đúng, thu đủ, thu kịp thời các khoản thuế, phí, lệ phí và thu khác theo quy định của pháp luật</w:t>
      </w:r>
      <w:r w:rsidR="00AA21D1" w:rsidRPr="0032641A">
        <w:rPr>
          <w:noProof/>
          <w:color w:val="000000" w:themeColor="text1"/>
          <w:szCs w:val="28"/>
          <w:lang w:val="vi-VN"/>
        </w:rPr>
        <w:t xml:space="preserve">. </w:t>
      </w:r>
      <w:r w:rsidRPr="0032641A">
        <w:rPr>
          <w:noProof/>
          <w:color w:val="000000" w:themeColor="text1"/>
          <w:szCs w:val="28"/>
          <w:lang w:val="vi-VN"/>
        </w:rPr>
        <w:t xml:space="preserve">Tích cực khai thác nguồn thu từ quỹ đất, từ hoạt động kinh doanh, khai thác tài nguyên khoáng sản, dịch vụ du lịch, từ các cơ sở sản xuất kinh </w:t>
      </w:r>
      <w:r w:rsidRPr="0032641A">
        <w:rPr>
          <w:noProof/>
          <w:color w:val="000000" w:themeColor="text1"/>
          <w:szCs w:val="28"/>
          <w:lang w:val="vi-VN"/>
        </w:rPr>
        <w:lastRenderedPageBreak/>
        <w:t>doanh có quy mô lớn mới đi vào hoạt động trong năm 201</w:t>
      </w:r>
      <w:r w:rsidR="00F4099E" w:rsidRPr="00E62A1F">
        <w:rPr>
          <w:noProof/>
          <w:color w:val="000000" w:themeColor="text1"/>
          <w:szCs w:val="28"/>
          <w:lang w:val="vi-VN"/>
        </w:rPr>
        <w:t>9</w:t>
      </w:r>
      <w:r w:rsidRPr="0032641A">
        <w:rPr>
          <w:noProof/>
          <w:color w:val="000000" w:themeColor="text1"/>
          <w:szCs w:val="28"/>
          <w:lang w:val="vi-VN"/>
        </w:rPr>
        <w:t xml:space="preserve">. Quản lý tốt các nguồn thu từ các hoạt động mua, bán, chuyển quyền, chuyển mục đích sử dụng và cấp quyền sử dụng đất. Thực hiện thu số thuế nợ đọng từ các năm trước, các khoản thu từ các dự án đầu tư đã hết thời gian ưu đãi, các khoản thu được phát hiện qua công tác thanh tra, kiểm tra, kiểm toán. Đẩy mạnh các biện pháp chống buôn lậu, gian lận thương mại, hàng giả. Tăng cường kiểm tra việc chấp hành các quy định về quản lý giá, thực hiện các biện pháp bình ổn giá nhất là trong dịp Tết Nguyên đán </w:t>
      </w:r>
      <w:r w:rsidR="009F2048" w:rsidRPr="00E62A1F">
        <w:rPr>
          <w:noProof/>
          <w:color w:val="000000" w:themeColor="text1"/>
          <w:szCs w:val="28"/>
          <w:lang w:val="vi-VN"/>
        </w:rPr>
        <w:t>Kỷ Hợi</w:t>
      </w:r>
      <w:r w:rsidRPr="0032641A">
        <w:rPr>
          <w:noProof/>
          <w:color w:val="000000" w:themeColor="text1"/>
          <w:szCs w:val="28"/>
          <w:lang w:val="vi-VN"/>
        </w:rPr>
        <w:t>; phát hiện xử lý kịp thời các hành vi đầu cơ, trục lợi, nâng giá, ép giá</w:t>
      </w:r>
      <w:r w:rsidR="00803395">
        <w:rPr>
          <w:noProof/>
          <w:color w:val="000000" w:themeColor="text1"/>
          <w:szCs w:val="28"/>
        </w:rPr>
        <w:t>.</w:t>
      </w:r>
    </w:p>
    <w:p w:rsidR="001674A7" w:rsidRPr="00E01220" w:rsidRDefault="0017491C" w:rsidP="0017491C">
      <w:pPr>
        <w:pStyle w:val="BodyTextIndent"/>
        <w:spacing w:before="120" w:after="120" w:line="288" w:lineRule="auto"/>
        <w:ind w:left="0" w:firstLine="720"/>
        <w:rPr>
          <w:b/>
          <w:noProof/>
          <w:color w:val="000000" w:themeColor="text1"/>
          <w:spacing w:val="2"/>
          <w:szCs w:val="28"/>
        </w:rPr>
      </w:pPr>
      <w:r w:rsidRPr="0017491C">
        <w:rPr>
          <w:noProof/>
          <w:color w:val="000000" w:themeColor="text1"/>
          <w:spacing w:val="2"/>
          <w:szCs w:val="28"/>
        </w:rPr>
        <w:t>2.</w:t>
      </w:r>
      <w:r>
        <w:rPr>
          <w:noProof/>
          <w:color w:val="000000" w:themeColor="text1"/>
          <w:spacing w:val="2"/>
          <w:szCs w:val="28"/>
        </w:rPr>
        <w:t xml:space="preserve"> </w:t>
      </w:r>
      <w:r w:rsidR="001674A7" w:rsidRPr="0032641A">
        <w:rPr>
          <w:noProof/>
          <w:color w:val="000000" w:themeColor="text1"/>
          <w:spacing w:val="2"/>
          <w:szCs w:val="28"/>
          <w:lang w:val="vi-VN"/>
        </w:rPr>
        <w:t xml:space="preserve">UBND tỉnh chỉ đạo thực hiện chi ngân sách theo đúng quy định của Luật Ngân sách nhà nước. Ưu tiên bố trí vốn để thanh toán </w:t>
      </w:r>
      <w:r w:rsidR="00D31A45" w:rsidRPr="0032641A">
        <w:rPr>
          <w:noProof/>
          <w:color w:val="000000" w:themeColor="text1"/>
          <w:spacing w:val="2"/>
          <w:szCs w:val="28"/>
          <w:lang w:val="vi-VN"/>
        </w:rPr>
        <w:t>các công trình trọng điểm quan trọng, bức xúc của tỉnh</w:t>
      </w:r>
      <w:r w:rsidR="00D31A45">
        <w:rPr>
          <w:noProof/>
          <w:color w:val="000000" w:themeColor="text1"/>
          <w:spacing w:val="2"/>
          <w:szCs w:val="28"/>
        </w:rPr>
        <w:t>,</w:t>
      </w:r>
      <w:r w:rsidR="00D31A45" w:rsidRPr="0032641A">
        <w:rPr>
          <w:noProof/>
          <w:color w:val="000000" w:themeColor="text1"/>
          <w:spacing w:val="2"/>
          <w:szCs w:val="28"/>
          <w:lang w:val="vi-VN"/>
        </w:rPr>
        <w:t xml:space="preserve"> </w:t>
      </w:r>
      <w:r w:rsidR="001674A7" w:rsidRPr="0032641A">
        <w:rPr>
          <w:noProof/>
          <w:color w:val="000000" w:themeColor="text1"/>
          <w:spacing w:val="2"/>
          <w:szCs w:val="28"/>
          <w:lang w:val="vi-VN"/>
        </w:rPr>
        <w:t>nợ xây dựng cơ bản</w:t>
      </w:r>
      <w:r w:rsidR="00E01220">
        <w:rPr>
          <w:noProof/>
          <w:color w:val="000000" w:themeColor="text1"/>
          <w:spacing w:val="2"/>
          <w:szCs w:val="28"/>
        </w:rPr>
        <w:t xml:space="preserve">, </w:t>
      </w:r>
      <w:r w:rsidR="00E01220" w:rsidRPr="00803395">
        <w:rPr>
          <w:noProof/>
          <w:color w:val="000000" w:themeColor="text1"/>
          <w:spacing w:val="2"/>
          <w:szCs w:val="28"/>
        </w:rPr>
        <w:t>nợ đề án giao thông nông thôn</w:t>
      </w:r>
      <w:r w:rsidR="001674A7" w:rsidRPr="0032641A">
        <w:rPr>
          <w:noProof/>
          <w:color w:val="000000" w:themeColor="text1"/>
          <w:spacing w:val="2"/>
          <w:szCs w:val="28"/>
          <w:lang w:val="vi-VN"/>
        </w:rPr>
        <w:t xml:space="preserve"> và các công trình chuyển tiếp có khả năng hoàn thành đưa vào sử dụng trong năm 201</w:t>
      </w:r>
      <w:r w:rsidR="00E42CAC" w:rsidRPr="00E62A1F">
        <w:rPr>
          <w:noProof/>
          <w:color w:val="000000" w:themeColor="text1"/>
          <w:spacing w:val="2"/>
          <w:szCs w:val="28"/>
          <w:lang w:val="vi-VN"/>
        </w:rPr>
        <w:t>9</w:t>
      </w:r>
      <w:r w:rsidR="001674A7" w:rsidRPr="0032641A">
        <w:rPr>
          <w:noProof/>
          <w:color w:val="000000" w:themeColor="text1"/>
          <w:spacing w:val="2"/>
          <w:szCs w:val="28"/>
          <w:lang w:val="vi-VN"/>
        </w:rPr>
        <w:t xml:space="preserve"> nhằm phát huy hiệu quả đầu tư. Chống lãng phí, thất thoát trong đầu tư xây dựng cơ bản.</w:t>
      </w:r>
      <w:r w:rsidR="00AA21D1">
        <w:rPr>
          <w:noProof/>
          <w:color w:val="000000" w:themeColor="text1"/>
          <w:spacing w:val="2"/>
          <w:szCs w:val="28"/>
        </w:rPr>
        <w:t xml:space="preserve"> </w:t>
      </w:r>
      <w:r w:rsidR="002F6D0A">
        <w:rPr>
          <w:noProof/>
          <w:color w:val="000000" w:themeColor="text1"/>
          <w:spacing w:val="2"/>
          <w:szCs w:val="28"/>
        </w:rPr>
        <w:t>S</w:t>
      </w:r>
      <w:r w:rsidR="00803395" w:rsidRPr="00803395">
        <w:rPr>
          <w:noProof/>
          <w:color w:val="000000" w:themeColor="text1"/>
          <w:spacing w:val="2"/>
          <w:szCs w:val="28"/>
        </w:rPr>
        <w:t>iết chặt kỷ luật</w:t>
      </w:r>
      <w:r w:rsidR="00F12573">
        <w:rPr>
          <w:noProof/>
          <w:color w:val="000000" w:themeColor="text1"/>
          <w:spacing w:val="2"/>
          <w:szCs w:val="28"/>
        </w:rPr>
        <w:t>,</w:t>
      </w:r>
      <w:r w:rsidR="00803395" w:rsidRPr="00803395">
        <w:rPr>
          <w:noProof/>
          <w:color w:val="000000" w:themeColor="text1"/>
          <w:spacing w:val="2"/>
          <w:szCs w:val="28"/>
        </w:rPr>
        <w:t xml:space="preserve"> kỷ cương trong</w:t>
      </w:r>
      <w:r w:rsidR="00E01220" w:rsidRPr="00803395">
        <w:rPr>
          <w:noProof/>
          <w:color w:val="000000" w:themeColor="text1"/>
          <w:spacing w:val="2"/>
          <w:szCs w:val="28"/>
        </w:rPr>
        <w:t xml:space="preserve"> </w:t>
      </w:r>
      <w:r w:rsidR="00AA21D1" w:rsidRPr="00803395">
        <w:rPr>
          <w:noProof/>
          <w:color w:val="000000" w:themeColor="text1"/>
          <w:spacing w:val="2"/>
          <w:szCs w:val="28"/>
        </w:rPr>
        <w:t>công tác quyết toán công trình hoàn thành đối với các dự án sử dụng vốn ngân sách nhà nước.</w:t>
      </w:r>
    </w:p>
    <w:p w:rsidR="001674A7" w:rsidRPr="0032641A" w:rsidRDefault="001674A7" w:rsidP="00E31FA7">
      <w:pPr>
        <w:pStyle w:val="BodyTextIndent"/>
        <w:spacing w:before="120" w:after="120" w:line="288" w:lineRule="auto"/>
        <w:ind w:left="0" w:firstLine="720"/>
        <w:rPr>
          <w:noProof/>
          <w:color w:val="000000" w:themeColor="text1"/>
          <w:szCs w:val="28"/>
          <w:lang w:val="vi-VN"/>
        </w:rPr>
      </w:pPr>
      <w:r w:rsidRPr="0032641A">
        <w:rPr>
          <w:noProof/>
          <w:color w:val="000000" w:themeColor="text1"/>
          <w:szCs w:val="28"/>
          <w:lang w:val="vi-VN"/>
        </w:rPr>
        <w:t xml:space="preserve">Đảm bảo kinh phí đáp ứng kịp thời cho các nhu cầu chi lương và chi hoạt động thường xuyên của các cơ quan Đảng, Nhà nước và các </w:t>
      </w:r>
      <w:r w:rsidR="004476B5" w:rsidRPr="00E62A1F">
        <w:rPr>
          <w:noProof/>
          <w:color w:val="000000" w:themeColor="text1"/>
          <w:szCs w:val="28"/>
          <w:lang w:val="vi-VN"/>
        </w:rPr>
        <w:t>tổ chức chính trị - xã hội</w:t>
      </w:r>
      <w:r w:rsidRPr="0032641A">
        <w:rPr>
          <w:noProof/>
          <w:color w:val="000000" w:themeColor="text1"/>
          <w:szCs w:val="28"/>
          <w:lang w:val="vi-VN"/>
        </w:rPr>
        <w:t xml:space="preserve">; chi cho các nhiệm vụ trọng tâm; chi thực hiện các chính sách an sinh xã hội, hỗ trợ đồng bào dân tộc thiểu số, hộ nghèo, gia đình chính sách; chi thực hiện công trình phát triển kinh tế - xã hội vùng đồng bào dân tộc thiểu số, vùng miền núi, chi cho công tác xóa đói giảm nghèo và giải quyết việc làm; bố trí dự phòng ngân sách theo quy định của Luật Ngân sách nhà nước để chủ động </w:t>
      </w:r>
      <w:r w:rsidR="0012606C" w:rsidRPr="0032641A">
        <w:rPr>
          <w:noProof/>
          <w:color w:val="000000" w:themeColor="text1"/>
          <w:szCs w:val="28"/>
          <w:lang w:val="vi-VN"/>
        </w:rPr>
        <w:t>phòng, chống, khắc phục hậu quả thiên tai, thảm hoạ, dịch bệnh, cứu đói</w:t>
      </w:r>
      <w:r w:rsidR="0012606C" w:rsidRPr="00E62A1F">
        <w:rPr>
          <w:noProof/>
          <w:color w:val="000000" w:themeColor="text1"/>
          <w:szCs w:val="28"/>
          <w:lang w:val="vi-VN"/>
        </w:rPr>
        <w:t>,</w:t>
      </w:r>
      <w:r w:rsidR="0012606C" w:rsidRPr="0032641A">
        <w:rPr>
          <w:noProof/>
          <w:color w:val="000000" w:themeColor="text1"/>
          <w:szCs w:val="28"/>
          <w:lang w:val="vi-VN"/>
        </w:rPr>
        <w:t xml:space="preserve"> nhiệm vụ quan trọng về quốc phòng, an ninh và các nhiệm vụ cần thiết khác thuộc nhiệm vụ chi của ngân sách cấp mình mà chưa được dự toán</w:t>
      </w:r>
      <w:r w:rsidRPr="0032641A">
        <w:rPr>
          <w:noProof/>
          <w:color w:val="000000" w:themeColor="text1"/>
          <w:szCs w:val="28"/>
          <w:lang w:val="vi-VN"/>
        </w:rPr>
        <w:t xml:space="preserve">. </w:t>
      </w:r>
    </w:p>
    <w:p w:rsidR="001674A7" w:rsidRPr="0032641A" w:rsidRDefault="001674A7" w:rsidP="00E31FA7">
      <w:pPr>
        <w:pStyle w:val="BodyTextIndent"/>
        <w:spacing w:before="120" w:after="120" w:line="288" w:lineRule="auto"/>
        <w:ind w:left="0" w:firstLine="720"/>
        <w:rPr>
          <w:noProof/>
          <w:color w:val="000000" w:themeColor="text1"/>
          <w:spacing w:val="2"/>
          <w:szCs w:val="28"/>
          <w:lang w:val="vi-VN"/>
        </w:rPr>
      </w:pPr>
      <w:r w:rsidRPr="0032641A">
        <w:rPr>
          <w:noProof/>
          <w:color w:val="000000" w:themeColor="text1"/>
          <w:spacing w:val="2"/>
          <w:szCs w:val="28"/>
          <w:lang w:val="vi-VN"/>
        </w:rPr>
        <w:t>Tiếp tục tăng cường công tác kiểm tra, kiểm soát chi qua hệ thống Kho bạc Nhà nước. Tăng cường thực hiện công khai tài chính và đẩy mạnh thực hành tiết kiệm, chống lãng phí, phòng chống tham nhũng ở từng cơ quan, đơn vị.</w:t>
      </w:r>
    </w:p>
    <w:p w:rsidR="001674A7" w:rsidRDefault="001674A7" w:rsidP="00E31FA7">
      <w:pPr>
        <w:pStyle w:val="BodyTextIndent"/>
        <w:spacing w:before="120" w:after="120" w:line="288" w:lineRule="auto"/>
        <w:ind w:left="0" w:firstLine="720"/>
        <w:rPr>
          <w:noProof/>
          <w:color w:val="000000" w:themeColor="text1"/>
          <w:szCs w:val="28"/>
        </w:rPr>
      </w:pPr>
      <w:r w:rsidRPr="0017491C">
        <w:rPr>
          <w:noProof/>
          <w:color w:val="000000" w:themeColor="text1"/>
          <w:szCs w:val="28"/>
          <w:lang w:val="vi-VN"/>
        </w:rPr>
        <w:t>3.</w:t>
      </w:r>
      <w:r w:rsidRPr="0032641A">
        <w:rPr>
          <w:noProof/>
          <w:color w:val="000000" w:themeColor="text1"/>
          <w:szCs w:val="28"/>
          <w:lang w:val="vi-VN"/>
        </w:rPr>
        <w:t xml:space="preserve"> UBND tỉnh giao nhiệm vụ thu, chi ngân sách cho từng sở, ban, ngành</w:t>
      </w:r>
      <w:r w:rsidR="00923479" w:rsidRPr="0032641A">
        <w:rPr>
          <w:noProof/>
          <w:color w:val="000000" w:themeColor="text1"/>
          <w:szCs w:val="28"/>
          <w:lang w:val="vi-VN"/>
        </w:rPr>
        <w:t>, đoàn thể cấp tỉnh</w:t>
      </w:r>
      <w:r w:rsidRPr="0032641A">
        <w:rPr>
          <w:noProof/>
          <w:color w:val="000000" w:themeColor="text1"/>
          <w:szCs w:val="28"/>
          <w:lang w:val="vi-VN"/>
        </w:rPr>
        <w:t xml:space="preserve">; nhiệm vụ thu, chi và mức bổ sung từ ngân sách tỉnh cho từng huyện, thị xã, thành phố trực thuộc tỉnh trước ngày </w:t>
      </w:r>
      <w:r w:rsidR="00F15C99" w:rsidRPr="0032641A">
        <w:rPr>
          <w:noProof/>
          <w:color w:val="000000" w:themeColor="text1"/>
          <w:szCs w:val="28"/>
          <w:lang w:val="vi-VN"/>
        </w:rPr>
        <w:t>15</w:t>
      </w:r>
      <w:r w:rsidRPr="0032641A">
        <w:rPr>
          <w:noProof/>
          <w:color w:val="000000" w:themeColor="text1"/>
          <w:szCs w:val="28"/>
          <w:lang w:val="vi-VN"/>
        </w:rPr>
        <w:t xml:space="preserve"> tháng 12 năm 201</w:t>
      </w:r>
      <w:r w:rsidR="004756F2" w:rsidRPr="00E62A1F">
        <w:rPr>
          <w:noProof/>
          <w:color w:val="000000" w:themeColor="text1"/>
          <w:szCs w:val="28"/>
          <w:lang w:val="vi-VN"/>
        </w:rPr>
        <w:t>8</w:t>
      </w:r>
      <w:r w:rsidRPr="0032641A">
        <w:rPr>
          <w:noProof/>
          <w:color w:val="000000" w:themeColor="text1"/>
          <w:szCs w:val="28"/>
          <w:lang w:val="vi-VN"/>
        </w:rPr>
        <w:t>. Các sở, ban, ngành</w:t>
      </w:r>
      <w:r w:rsidR="00923479" w:rsidRPr="0032641A">
        <w:rPr>
          <w:noProof/>
          <w:color w:val="000000" w:themeColor="text1"/>
          <w:szCs w:val="28"/>
          <w:lang w:val="vi-VN"/>
        </w:rPr>
        <w:t>, đoàn thể cấp tỉnh</w:t>
      </w:r>
      <w:r w:rsidRPr="0032641A">
        <w:rPr>
          <w:noProof/>
          <w:color w:val="000000" w:themeColor="text1"/>
          <w:szCs w:val="28"/>
          <w:lang w:val="vi-VN"/>
        </w:rPr>
        <w:t>, UBND các huyện, thị xã, thành phố triển khai giao dự toán thu, chi ngân sách năm 201</w:t>
      </w:r>
      <w:r w:rsidR="00F00790" w:rsidRPr="00E62A1F">
        <w:rPr>
          <w:noProof/>
          <w:color w:val="000000" w:themeColor="text1"/>
          <w:szCs w:val="28"/>
          <w:lang w:val="vi-VN"/>
        </w:rPr>
        <w:t>9</w:t>
      </w:r>
      <w:r w:rsidRPr="0032641A">
        <w:rPr>
          <w:noProof/>
          <w:color w:val="000000" w:themeColor="text1"/>
          <w:szCs w:val="28"/>
          <w:lang w:val="vi-VN"/>
        </w:rPr>
        <w:t xml:space="preserve"> đến từng đơn vị trực thuộc trước ngày 31 tháng 12 năm 201</w:t>
      </w:r>
      <w:r w:rsidR="00F00790" w:rsidRPr="00E62A1F">
        <w:rPr>
          <w:noProof/>
          <w:color w:val="000000" w:themeColor="text1"/>
          <w:szCs w:val="28"/>
          <w:lang w:val="vi-VN"/>
        </w:rPr>
        <w:t>8</w:t>
      </w:r>
      <w:r w:rsidRPr="0032641A">
        <w:rPr>
          <w:noProof/>
          <w:color w:val="000000" w:themeColor="text1"/>
          <w:szCs w:val="28"/>
          <w:lang w:val="vi-VN"/>
        </w:rPr>
        <w:t xml:space="preserve"> và tổ chức việc công khai dự toán ngân sách theo đúng quy </w:t>
      </w:r>
      <w:r w:rsidRPr="0032641A">
        <w:rPr>
          <w:noProof/>
          <w:color w:val="000000" w:themeColor="text1"/>
          <w:szCs w:val="28"/>
          <w:lang w:val="vi-VN"/>
        </w:rPr>
        <w:lastRenderedPageBreak/>
        <w:t xml:space="preserve">định của Luật Ngân sách nhà nước. UBND tỉnh cần có các giải pháp chỉ đạo các ngành, các cấp phấn đấu thu ngân sách vượt dự toán được giao; tích cực tìm nguồn vốn để đáp ứng đủ vốn thanh toán cho các công trình trọng điểm của tỉnh và bảo đảm thanh toán nợ vay khi đến hạn. Đồng thời, điều hành chi ngân sách theo kế hoạch và tiến độ thu. </w:t>
      </w:r>
    </w:p>
    <w:p w:rsidR="0017491C" w:rsidRPr="0017491C" w:rsidRDefault="0017491C" w:rsidP="0017491C">
      <w:pPr>
        <w:pStyle w:val="BodyTextIndent"/>
        <w:spacing w:before="120" w:after="120" w:line="288" w:lineRule="auto"/>
        <w:ind w:left="0" w:firstLine="720"/>
        <w:rPr>
          <w:noProof/>
          <w:color w:val="000000" w:themeColor="text1"/>
          <w:szCs w:val="28"/>
        </w:rPr>
      </w:pPr>
      <w:r w:rsidRPr="0017491C">
        <w:rPr>
          <w:b/>
          <w:noProof/>
          <w:color w:val="000000" w:themeColor="text1"/>
          <w:szCs w:val="28"/>
        </w:rPr>
        <w:t>Điều 4.</w:t>
      </w:r>
      <w:r w:rsidRPr="0017491C">
        <w:rPr>
          <w:noProof/>
          <w:color w:val="000000" w:themeColor="text1"/>
          <w:szCs w:val="28"/>
        </w:rPr>
        <w:t xml:space="preserve"> </w:t>
      </w:r>
      <w:r w:rsidRPr="0017491C">
        <w:rPr>
          <w:b/>
          <w:noProof/>
          <w:color w:val="000000" w:themeColor="text1"/>
          <w:szCs w:val="28"/>
        </w:rPr>
        <w:t>Tổ chức thực hiện</w:t>
      </w:r>
    </w:p>
    <w:p w:rsidR="0017491C" w:rsidRPr="0017491C" w:rsidRDefault="0017491C" w:rsidP="0017491C">
      <w:pPr>
        <w:pStyle w:val="BodyTextIndent"/>
        <w:spacing w:before="120" w:after="120" w:line="288" w:lineRule="auto"/>
        <w:ind w:left="0" w:firstLine="720"/>
        <w:rPr>
          <w:noProof/>
          <w:color w:val="000000" w:themeColor="text1"/>
          <w:szCs w:val="28"/>
        </w:rPr>
      </w:pPr>
      <w:r>
        <w:rPr>
          <w:noProof/>
          <w:color w:val="000000" w:themeColor="text1"/>
          <w:szCs w:val="28"/>
        </w:rPr>
        <w:t xml:space="preserve"> </w:t>
      </w:r>
      <w:r w:rsidRPr="0017491C">
        <w:rPr>
          <w:noProof/>
          <w:color w:val="000000" w:themeColor="text1"/>
          <w:szCs w:val="28"/>
        </w:rPr>
        <w:t xml:space="preserve">1. Giao </w:t>
      </w:r>
      <w:r>
        <w:rPr>
          <w:noProof/>
          <w:color w:val="000000" w:themeColor="text1"/>
          <w:szCs w:val="28"/>
        </w:rPr>
        <w:t>UBND</w:t>
      </w:r>
      <w:r w:rsidRPr="0017491C">
        <w:rPr>
          <w:noProof/>
          <w:color w:val="000000" w:themeColor="text1"/>
          <w:szCs w:val="28"/>
        </w:rPr>
        <w:t xml:space="preserve"> tỉnh tổ chức thực hiện Nghị quyết này.</w:t>
      </w:r>
    </w:p>
    <w:p w:rsidR="0017491C" w:rsidRPr="0017491C" w:rsidRDefault="0017491C" w:rsidP="0017491C">
      <w:pPr>
        <w:pStyle w:val="BodyTextIndent"/>
        <w:spacing w:before="120" w:after="120" w:line="288" w:lineRule="auto"/>
        <w:ind w:left="0" w:firstLine="720"/>
        <w:rPr>
          <w:noProof/>
          <w:color w:val="000000" w:themeColor="text1"/>
          <w:szCs w:val="28"/>
        </w:rPr>
      </w:pPr>
      <w:r>
        <w:rPr>
          <w:noProof/>
          <w:color w:val="000000" w:themeColor="text1"/>
          <w:szCs w:val="28"/>
        </w:rPr>
        <w:t xml:space="preserve"> </w:t>
      </w:r>
      <w:r w:rsidRPr="0017491C">
        <w:rPr>
          <w:noProof/>
          <w:color w:val="000000" w:themeColor="text1"/>
          <w:szCs w:val="28"/>
        </w:rPr>
        <w:t xml:space="preserve">2. Thường trực </w:t>
      </w:r>
      <w:r>
        <w:rPr>
          <w:noProof/>
          <w:color w:val="000000" w:themeColor="text1"/>
          <w:szCs w:val="28"/>
        </w:rPr>
        <w:t>HĐND</w:t>
      </w:r>
      <w:r w:rsidRPr="0017491C">
        <w:rPr>
          <w:noProof/>
          <w:color w:val="000000" w:themeColor="text1"/>
          <w:szCs w:val="28"/>
        </w:rPr>
        <w:t xml:space="preserve"> tỉnh, các Ban của </w:t>
      </w:r>
      <w:r>
        <w:rPr>
          <w:noProof/>
          <w:color w:val="000000" w:themeColor="text1"/>
          <w:szCs w:val="28"/>
        </w:rPr>
        <w:t>HĐND</w:t>
      </w:r>
      <w:r w:rsidRPr="0017491C">
        <w:rPr>
          <w:noProof/>
          <w:color w:val="000000" w:themeColor="text1"/>
          <w:szCs w:val="28"/>
        </w:rPr>
        <w:t xml:space="preserve"> tỉnh, các Tổ đại biểu và đại biểu </w:t>
      </w:r>
      <w:r>
        <w:rPr>
          <w:noProof/>
          <w:color w:val="000000" w:themeColor="text1"/>
          <w:szCs w:val="28"/>
        </w:rPr>
        <w:t>HĐND</w:t>
      </w:r>
      <w:r w:rsidRPr="0017491C">
        <w:rPr>
          <w:noProof/>
          <w:color w:val="000000" w:themeColor="text1"/>
          <w:szCs w:val="28"/>
        </w:rPr>
        <w:t xml:space="preserve"> tỉnh giám sát việc thực hiện Nghị quyết này.</w:t>
      </w:r>
    </w:p>
    <w:p w:rsidR="0017491C" w:rsidRPr="0032641A" w:rsidRDefault="0017491C" w:rsidP="0017491C">
      <w:pPr>
        <w:pStyle w:val="BodyTextIndent"/>
        <w:spacing w:before="120" w:after="120" w:line="288" w:lineRule="auto"/>
        <w:ind w:left="0" w:firstLine="720"/>
        <w:rPr>
          <w:noProof/>
          <w:color w:val="000000" w:themeColor="text1"/>
          <w:szCs w:val="28"/>
          <w:lang w:val="vi-VN"/>
        </w:rPr>
      </w:pPr>
      <w:r>
        <w:rPr>
          <w:noProof/>
          <w:color w:val="000000" w:themeColor="text1"/>
          <w:szCs w:val="28"/>
        </w:rPr>
        <w:t xml:space="preserve"> </w:t>
      </w:r>
      <w:r w:rsidRPr="0017491C">
        <w:rPr>
          <w:noProof/>
          <w:color w:val="000000" w:themeColor="text1"/>
          <w:szCs w:val="28"/>
        </w:rPr>
        <w:t xml:space="preserve">Nghị quyết này đã được HĐND tỉnh khóa X, kỳ họp </w:t>
      </w:r>
      <w:r>
        <w:rPr>
          <w:noProof/>
          <w:color w:val="000000" w:themeColor="text1"/>
          <w:szCs w:val="28"/>
        </w:rPr>
        <w:t>thứ 7</w:t>
      </w:r>
      <w:r w:rsidRPr="0017491C">
        <w:rPr>
          <w:noProof/>
          <w:color w:val="000000" w:themeColor="text1"/>
          <w:szCs w:val="28"/>
        </w:rPr>
        <w:t xml:space="preserve"> thông qua ngày </w:t>
      </w:r>
      <w:r w:rsidR="004A4245">
        <w:rPr>
          <w:noProof/>
          <w:color w:val="000000" w:themeColor="text1"/>
          <w:szCs w:val="28"/>
        </w:rPr>
        <w:t>05</w:t>
      </w:r>
      <w:r>
        <w:rPr>
          <w:noProof/>
          <w:color w:val="000000" w:themeColor="text1"/>
          <w:szCs w:val="28"/>
        </w:rPr>
        <w:t xml:space="preserve"> </w:t>
      </w:r>
      <w:r w:rsidRPr="0017491C">
        <w:rPr>
          <w:noProof/>
          <w:color w:val="000000" w:themeColor="text1"/>
          <w:szCs w:val="28"/>
        </w:rPr>
        <w:t xml:space="preserve">tháng </w:t>
      </w:r>
      <w:r>
        <w:rPr>
          <w:noProof/>
          <w:color w:val="000000" w:themeColor="text1"/>
          <w:szCs w:val="28"/>
        </w:rPr>
        <w:t>12</w:t>
      </w:r>
      <w:r w:rsidRPr="0017491C">
        <w:rPr>
          <w:noProof/>
          <w:color w:val="000000" w:themeColor="text1"/>
          <w:szCs w:val="28"/>
        </w:rPr>
        <w:t xml:space="preserve"> năm 2018 và có hiệu lực thi hành </w:t>
      </w:r>
      <w:r w:rsidRPr="0032641A">
        <w:rPr>
          <w:noProof/>
          <w:color w:val="000000" w:themeColor="text1"/>
          <w:szCs w:val="28"/>
          <w:lang w:val="vi-VN"/>
        </w:rPr>
        <w:t>kể từ ngày thông qua./.</w:t>
      </w:r>
    </w:p>
    <w:tbl>
      <w:tblPr>
        <w:tblW w:w="9464" w:type="dxa"/>
        <w:jc w:val="center"/>
        <w:tblLook w:val="01E0" w:firstRow="1" w:lastRow="1" w:firstColumn="1" w:lastColumn="1" w:noHBand="0" w:noVBand="0"/>
      </w:tblPr>
      <w:tblGrid>
        <w:gridCol w:w="5017"/>
        <w:gridCol w:w="4447"/>
      </w:tblGrid>
      <w:tr w:rsidR="0017491C" w:rsidRPr="009B5CAC" w:rsidTr="0017491C">
        <w:trPr>
          <w:trHeight w:val="993"/>
          <w:jc w:val="center"/>
        </w:trPr>
        <w:tc>
          <w:tcPr>
            <w:tcW w:w="5017" w:type="dxa"/>
            <w:shd w:val="clear" w:color="auto" w:fill="auto"/>
          </w:tcPr>
          <w:p w:rsidR="0017491C" w:rsidRPr="009B5CAC" w:rsidRDefault="0017491C" w:rsidP="001A4523">
            <w:pPr>
              <w:widowControl w:val="0"/>
              <w:jc w:val="both"/>
              <w:rPr>
                <w:b/>
                <w:i/>
              </w:rPr>
            </w:pPr>
            <w:r w:rsidRPr="009B5CAC">
              <w:rPr>
                <w:b/>
                <w:i/>
              </w:rPr>
              <w:t>Nơi nhận:</w:t>
            </w:r>
          </w:p>
          <w:p w:rsidR="0017491C" w:rsidRPr="009B5CAC" w:rsidRDefault="0017491C" w:rsidP="001A4523">
            <w:pPr>
              <w:widowControl w:val="0"/>
              <w:jc w:val="both"/>
              <w:rPr>
                <w:sz w:val="22"/>
                <w:szCs w:val="22"/>
              </w:rPr>
            </w:pPr>
            <w:r w:rsidRPr="009B5CAC">
              <w:rPr>
                <w:sz w:val="22"/>
                <w:szCs w:val="22"/>
              </w:rPr>
              <w:t>- Ủy ban Thường vụ Quốc hội;</w:t>
            </w:r>
          </w:p>
          <w:p w:rsidR="0017491C" w:rsidRPr="009B5CAC" w:rsidRDefault="0017491C" w:rsidP="001A4523">
            <w:pPr>
              <w:widowControl w:val="0"/>
              <w:jc w:val="both"/>
              <w:rPr>
                <w:sz w:val="22"/>
                <w:szCs w:val="22"/>
              </w:rPr>
            </w:pPr>
            <w:r w:rsidRPr="009B5CAC">
              <w:rPr>
                <w:sz w:val="22"/>
                <w:szCs w:val="22"/>
              </w:rPr>
              <w:t>- Chính phủ;</w:t>
            </w:r>
          </w:p>
          <w:p w:rsidR="0017491C" w:rsidRPr="009B5CAC" w:rsidRDefault="0017491C" w:rsidP="001A4523">
            <w:pPr>
              <w:widowControl w:val="0"/>
              <w:jc w:val="both"/>
              <w:rPr>
                <w:sz w:val="22"/>
                <w:szCs w:val="22"/>
              </w:rPr>
            </w:pPr>
            <w:r w:rsidRPr="009B5CAC">
              <w:rPr>
                <w:sz w:val="22"/>
                <w:szCs w:val="22"/>
              </w:rPr>
              <w:t>- Bộ Tài chính;</w:t>
            </w:r>
          </w:p>
          <w:p w:rsidR="0017491C" w:rsidRPr="009B5CAC" w:rsidRDefault="0017491C" w:rsidP="001A4523">
            <w:pPr>
              <w:widowControl w:val="0"/>
              <w:jc w:val="both"/>
              <w:rPr>
                <w:sz w:val="22"/>
                <w:szCs w:val="22"/>
              </w:rPr>
            </w:pPr>
            <w:r w:rsidRPr="009B5CAC">
              <w:rPr>
                <w:sz w:val="22"/>
                <w:szCs w:val="22"/>
              </w:rPr>
              <w:t>- Ban công tác Đại biểu Quốc hội;</w:t>
            </w:r>
          </w:p>
          <w:p w:rsidR="0017491C" w:rsidRPr="009B5CAC" w:rsidRDefault="0017491C" w:rsidP="001A4523">
            <w:pPr>
              <w:widowControl w:val="0"/>
              <w:jc w:val="both"/>
              <w:rPr>
                <w:sz w:val="22"/>
                <w:szCs w:val="22"/>
              </w:rPr>
            </w:pPr>
            <w:r w:rsidRPr="009B5CAC">
              <w:rPr>
                <w:sz w:val="22"/>
                <w:szCs w:val="22"/>
              </w:rPr>
              <w:t>- Thường trực Tỉnh ủy;</w:t>
            </w:r>
          </w:p>
          <w:p w:rsidR="0017491C" w:rsidRPr="009B5CAC" w:rsidRDefault="0017491C" w:rsidP="001A4523">
            <w:pPr>
              <w:widowControl w:val="0"/>
              <w:jc w:val="both"/>
              <w:rPr>
                <w:sz w:val="22"/>
                <w:szCs w:val="22"/>
              </w:rPr>
            </w:pPr>
            <w:r w:rsidRPr="009B5CAC">
              <w:rPr>
                <w:sz w:val="22"/>
                <w:szCs w:val="22"/>
              </w:rPr>
              <w:t>- Thường trực HĐND, UBND, UBMTTQVN tỉnh;</w:t>
            </w:r>
          </w:p>
          <w:p w:rsidR="0017491C" w:rsidRPr="009B5CAC" w:rsidRDefault="0017491C" w:rsidP="001A4523">
            <w:pPr>
              <w:widowControl w:val="0"/>
              <w:jc w:val="both"/>
              <w:rPr>
                <w:sz w:val="22"/>
                <w:szCs w:val="22"/>
              </w:rPr>
            </w:pPr>
            <w:r w:rsidRPr="009B5CAC">
              <w:rPr>
                <w:sz w:val="22"/>
                <w:szCs w:val="22"/>
              </w:rPr>
              <w:t>- Đoàn ĐBQH đơn vị tỉnh Bình Thuận;</w:t>
            </w:r>
          </w:p>
          <w:p w:rsidR="0017491C" w:rsidRDefault="0017491C" w:rsidP="001A4523">
            <w:pPr>
              <w:widowControl w:val="0"/>
              <w:jc w:val="both"/>
              <w:rPr>
                <w:sz w:val="22"/>
                <w:szCs w:val="22"/>
              </w:rPr>
            </w:pPr>
            <w:r w:rsidRPr="009B5CAC">
              <w:rPr>
                <w:sz w:val="22"/>
                <w:szCs w:val="22"/>
              </w:rPr>
              <w:t>- Các ban HĐND tỉnh;</w:t>
            </w:r>
          </w:p>
          <w:p w:rsidR="001C32C7" w:rsidRPr="009B5CAC" w:rsidRDefault="001C32C7" w:rsidP="001A4523">
            <w:pPr>
              <w:widowControl w:val="0"/>
              <w:jc w:val="both"/>
              <w:rPr>
                <w:sz w:val="22"/>
                <w:szCs w:val="22"/>
              </w:rPr>
            </w:pPr>
            <w:r>
              <w:rPr>
                <w:sz w:val="22"/>
                <w:szCs w:val="22"/>
              </w:rPr>
              <w:t>- Đại biểu HĐND tỉnh;</w:t>
            </w:r>
          </w:p>
          <w:p w:rsidR="0017491C" w:rsidRPr="009B5CAC" w:rsidRDefault="0017491C" w:rsidP="001A4523">
            <w:pPr>
              <w:widowControl w:val="0"/>
              <w:jc w:val="both"/>
              <w:rPr>
                <w:sz w:val="22"/>
                <w:szCs w:val="22"/>
              </w:rPr>
            </w:pPr>
            <w:r w:rsidRPr="009B5CAC">
              <w:rPr>
                <w:sz w:val="22"/>
                <w:szCs w:val="22"/>
              </w:rPr>
              <w:t>- Các Sở, ban, ngành và đoàn thể tỉnh;</w:t>
            </w:r>
          </w:p>
          <w:p w:rsidR="0017491C" w:rsidRPr="009B5CAC" w:rsidRDefault="0017491C" w:rsidP="001A4523">
            <w:pPr>
              <w:widowControl w:val="0"/>
              <w:jc w:val="both"/>
              <w:rPr>
                <w:sz w:val="22"/>
                <w:szCs w:val="22"/>
              </w:rPr>
            </w:pPr>
            <w:r w:rsidRPr="009B5CAC">
              <w:rPr>
                <w:sz w:val="22"/>
                <w:szCs w:val="22"/>
              </w:rPr>
              <w:t>- Các Văn phòng: HĐND tỉnh, UBND tỉnh;</w:t>
            </w:r>
          </w:p>
          <w:p w:rsidR="0017491C" w:rsidRPr="009B5CAC" w:rsidRDefault="0017491C" w:rsidP="001A4523">
            <w:pPr>
              <w:widowControl w:val="0"/>
              <w:jc w:val="both"/>
              <w:rPr>
                <w:sz w:val="22"/>
                <w:szCs w:val="22"/>
              </w:rPr>
            </w:pPr>
            <w:r w:rsidRPr="009B5CAC">
              <w:rPr>
                <w:sz w:val="22"/>
                <w:szCs w:val="22"/>
              </w:rPr>
              <w:t>- HĐND và UBND các huyện, thị xã, thành phố;</w:t>
            </w:r>
          </w:p>
          <w:p w:rsidR="0017491C" w:rsidRPr="009B5CAC" w:rsidRDefault="0017491C" w:rsidP="001A4523">
            <w:pPr>
              <w:widowControl w:val="0"/>
              <w:jc w:val="both"/>
              <w:rPr>
                <w:sz w:val="22"/>
                <w:szCs w:val="22"/>
              </w:rPr>
            </w:pPr>
            <w:r w:rsidRPr="009B5CAC">
              <w:rPr>
                <w:sz w:val="22"/>
                <w:szCs w:val="22"/>
              </w:rPr>
              <w:t>- Trung tâm Thông tin tỉnh;</w:t>
            </w:r>
          </w:p>
          <w:p w:rsidR="0017491C" w:rsidRPr="009B5CAC" w:rsidRDefault="0017491C" w:rsidP="001A4523">
            <w:pPr>
              <w:widowControl w:val="0"/>
              <w:jc w:val="both"/>
            </w:pPr>
            <w:r w:rsidRPr="009B5CAC">
              <w:rPr>
                <w:sz w:val="22"/>
                <w:szCs w:val="22"/>
              </w:rPr>
              <w:t>- Lưu: VT, (TH.09) T.Duy.</w:t>
            </w:r>
          </w:p>
        </w:tc>
        <w:tc>
          <w:tcPr>
            <w:tcW w:w="4447" w:type="dxa"/>
            <w:shd w:val="clear" w:color="auto" w:fill="auto"/>
          </w:tcPr>
          <w:p w:rsidR="0017491C" w:rsidRPr="009B5CAC" w:rsidRDefault="0017491C" w:rsidP="001A4523">
            <w:pPr>
              <w:widowControl w:val="0"/>
              <w:jc w:val="center"/>
              <w:rPr>
                <w:b/>
                <w:sz w:val="26"/>
                <w:szCs w:val="26"/>
              </w:rPr>
            </w:pPr>
            <w:r w:rsidRPr="009B5CAC">
              <w:rPr>
                <w:b/>
                <w:sz w:val="28"/>
                <w:szCs w:val="26"/>
              </w:rPr>
              <w:t>CHỦ TỊCH</w:t>
            </w:r>
          </w:p>
          <w:p w:rsidR="0017491C" w:rsidRPr="009B5CAC" w:rsidRDefault="0017491C" w:rsidP="001A4523">
            <w:pPr>
              <w:widowControl w:val="0"/>
              <w:jc w:val="center"/>
              <w:rPr>
                <w:b/>
                <w:sz w:val="26"/>
                <w:szCs w:val="26"/>
              </w:rPr>
            </w:pPr>
          </w:p>
          <w:p w:rsidR="0017491C" w:rsidRPr="009B5CAC" w:rsidRDefault="0017491C" w:rsidP="001A4523">
            <w:pPr>
              <w:widowControl w:val="0"/>
              <w:jc w:val="center"/>
              <w:rPr>
                <w:b/>
                <w:sz w:val="26"/>
                <w:szCs w:val="26"/>
              </w:rPr>
            </w:pPr>
          </w:p>
          <w:p w:rsidR="0017491C" w:rsidRDefault="009A2ACB" w:rsidP="001A4523">
            <w:pPr>
              <w:widowControl w:val="0"/>
              <w:jc w:val="center"/>
              <w:rPr>
                <w:b/>
                <w:sz w:val="26"/>
                <w:szCs w:val="26"/>
              </w:rPr>
            </w:pPr>
            <w:r>
              <w:rPr>
                <w:b/>
                <w:sz w:val="26"/>
                <w:szCs w:val="26"/>
              </w:rPr>
              <w:t>(đã ký)</w:t>
            </w:r>
          </w:p>
          <w:p w:rsidR="0017491C" w:rsidRPr="009B5CAC" w:rsidRDefault="0017491C" w:rsidP="001A4523">
            <w:pPr>
              <w:widowControl w:val="0"/>
              <w:jc w:val="center"/>
              <w:rPr>
                <w:b/>
                <w:sz w:val="26"/>
                <w:szCs w:val="26"/>
              </w:rPr>
            </w:pPr>
          </w:p>
          <w:p w:rsidR="0017491C" w:rsidRPr="009B5CAC" w:rsidRDefault="0017491C" w:rsidP="001A4523">
            <w:pPr>
              <w:widowControl w:val="0"/>
              <w:jc w:val="center"/>
              <w:rPr>
                <w:b/>
                <w:sz w:val="26"/>
                <w:szCs w:val="26"/>
              </w:rPr>
            </w:pPr>
          </w:p>
          <w:p w:rsidR="0017491C" w:rsidRPr="009B5CAC" w:rsidRDefault="0017491C" w:rsidP="001A4523">
            <w:pPr>
              <w:widowControl w:val="0"/>
              <w:jc w:val="center"/>
              <w:rPr>
                <w:b/>
                <w:sz w:val="26"/>
                <w:szCs w:val="26"/>
              </w:rPr>
            </w:pPr>
            <w:r w:rsidRPr="009B5CAC">
              <w:rPr>
                <w:b/>
                <w:sz w:val="28"/>
                <w:szCs w:val="26"/>
              </w:rPr>
              <w:t>Nguyễn Mạnh Hùng</w:t>
            </w:r>
          </w:p>
        </w:tc>
      </w:tr>
    </w:tbl>
    <w:p w:rsidR="00FD01DF" w:rsidRPr="0032641A" w:rsidRDefault="00FD01DF">
      <w:pPr>
        <w:rPr>
          <w:color w:val="000000" w:themeColor="text1"/>
        </w:rPr>
      </w:pPr>
    </w:p>
    <w:sectPr w:rsidR="00FD01DF" w:rsidRPr="0032641A" w:rsidSect="0017491C">
      <w:footerReference w:type="default" r:id="rId8"/>
      <w:pgSz w:w="12240" w:h="15840"/>
      <w:pgMar w:top="851" w:right="1134" w:bottom="1134" w:left="1701" w:header="567" w:footer="2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617" w:rsidRDefault="00382617" w:rsidP="00324980">
      <w:r>
        <w:separator/>
      </w:r>
    </w:p>
  </w:endnote>
  <w:endnote w:type="continuationSeparator" w:id="0">
    <w:p w:rsidR="00382617" w:rsidRDefault="00382617" w:rsidP="0032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938260"/>
      <w:docPartObj>
        <w:docPartGallery w:val="Page Numbers (Bottom of Page)"/>
        <w:docPartUnique/>
      </w:docPartObj>
    </w:sdtPr>
    <w:sdtEndPr>
      <w:rPr>
        <w:noProof/>
      </w:rPr>
    </w:sdtEndPr>
    <w:sdtContent>
      <w:p w:rsidR="00324980" w:rsidRDefault="00324980">
        <w:pPr>
          <w:pStyle w:val="Footer"/>
          <w:jc w:val="right"/>
        </w:pPr>
        <w:r>
          <w:fldChar w:fldCharType="begin"/>
        </w:r>
        <w:r>
          <w:instrText xml:space="preserve"> PAGE   \* MERGEFORMAT </w:instrText>
        </w:r>
        <w:r>
          <w:fldChar w:fldCharType="separate"/>
        </w:r>
        <w:r w:rsidR="00801CD3">
          <w:rPr>
            <w:noProof/>
          </w:rPr>
          <w:t>1</w:t>
        </w:r>
        <w:r>
          <w:rPr>
            <w:noProof/>
          </w:rPr>
          <w:fldChar w:fldCharType="end"/>
        </w:r>
      </w:p>
    </w:sdtContent>
  </w:sdt>
  <w:p w:rsidR="00324980" w:rsidRDefault="00324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617" w:rsidRDefault="00382617" w:rsidP="00324980">
      <w:r>
        <w:separator/>
      </w:r>
    </w:p>
  </w:footnote>
  <w:footnote w:type="continuationSeparator" w:id="0">
    <w:p w:rsidR="00382617" w:rsidRDefault="00382617" w:rsidP="00324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40C1F"/>
    <w:multiLevelType w:val="hybridMultilevel"/>
    <w:tmpl w:val="EB90876A"/>
    <w:lvl w:ilvl="0" w:tplc="176CE0C0">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10F4FD5"/>
    <w:multiLevelType w:val="hybridMultilevel"/>
    <w:tmpl w:val="FC9A4028"/>
    <w:lvl w:ilvl="0" w:tplc="08AC2258">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CBE4C55"/>
    <w:multiLevelType w:val="hybridMultilevel"/>
    <w:tmpl w:val="8DCC54D8"/>
    <w:lvl w:ilvl="0" w:tplc="1D1C0378">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11"/>
    <w:rsid w:val="00002BE1"/>
    <w:rsid w:val="00014641"/>
    <w:rsid w:val="00016BB7"/>
    <w:rsid w:val="0004468B"/>
    <w:rsid w:val="0007081F"/>
    <w:rsid w:val="00074A34"/>
    <w:rsid w:val="000778CB"/>
    <w:rsid w:val="00094D69"/>
    <w:rsid w:val="000B0BC0"/>
    <w:rsid w:val="000B0FF8"/>
    <w:rsid w:val="000B1591"/>
    <w:rsid w:val="000B2D05"/>
    <w:rsid w:val="000F1EA5"/>
    <w:rsid w:val="00112639"/>
    <w:rsid w:val="00115E85"/>
    <w:rsid w:val="001242DF"/>
    <w:rsid w:val="0012606C"/>
    <w:rsid w:val="00130B36"/>
    <w:rsid w:val="00132041"/>
    <w:rsid w:val="00135AA7"/>
    <w:rsid w:val="001674A7"/>
    <w:rsid w:val="0017491C"/>
    <w:rsid w:val="001B10D4"/>
    <w:rsid w:val="001C32C7"/>
    <w:rsid w:val="001E0267"/>
    <w:rsid w:val="00205C11"/>
    <w:rsid w:val="00207334"/>
    <w:rsid w:val="002356C5"/>
    <w:rsid w:val="00243397"/>
    <w:rsid w:val="00243D5F"/>
    <w:rsid w:val="00262D93"/>
    <w:rsid w:val="00276626"/>
    <w:rsid w:val="00277B14"/>
    <w:rsid w:val="002872EC"/>
    <w:rsid w:val="002B09DB"/>
    <w:rsid w:val="002D3DE2"/>
    <w:rsid w:val="002F115E"/>
    <w:rsid w:val="002F6D0A"/>
    <w:rsid w:val="00306D08"/>
    <w:rsid w:val="00324980"/>
    <w:rsid w:val="0032641A"/>
    <w:rsid w:val="00330069"/>
    <w:rsid w:val="003545C4"/>
    <w:rsid w:val="00382617"/>
    <w:rsid w:val="003A4810"/>
    <w:rsid w:val="003B2F04"/>
    <w:rsid w:val="003C7EAA"/>
    <w:rsid w:val="003D5511"/>
    <w:rsid w:val="003E4C15"/>
    <w:rsid w:val="003F3785"/>
    <w:rsid w:val="00426387"/>
    <w:rsid w:val="00426A44"/>
    <w:rsid w:val="00427915"/>
    <w:rsid w:val="004433EA"/>
    <w:rsid w:val="004476B5"/>
    <w:rsid w:val="00475538"/>
    <w:rsid w:val="004756F2"/>
    <w:rsid w:val="004A2130"/>
    <w:rsid w:val="004A2ADE"/>
    <w:rsid w:val="004A4245"/>
    <w:rsid w:val="004A493A"/>
    <w:rsid w:val="004A51F1"/>
    <w:rsid w:val="004B1A8E"/>
    <w:rsid w:val="004B6BC9"/>
    <w:rsid w:val="004E0555"/>
    <w:rsid w:val="00511340"/>
    <w:rsid w:val="00515093"/>
    <w:rsid w:val="00526A3D"/>
    <w:rsid w:val="005330F9"/>
    <w:rsid w:val="0053352A"/>
    <w:rsid w:val="00582573"/>
    <w:rsid w:val="005A0DDA"/>
    <w:rsid w:val="005B2A5C"/>
    <w:rsid w:val="005C45A8"/>
    <w:rsid w:val="005E6863"/>
    <w:rsid w:val="005E7D5D"/>
    <w:rsid w:val="006076E2"/>
    <w:rsid w:val="00611C93"/>
    <w:rsid w:val="00614C65"/>
    <w:rsid w:val="00614D2D"/>
    <w:rsid w:val="00624B6F"/>
    <w:rsid w:val="00642DEE"/>
    <w:rsid w:val="00651A19"/>
    <w:rsid w:val="00664EE2"/>
    <w:rsid w:val="00672EAF"/>
    <w:rsid w:val="00675657"/>
    <w:rsid w:val="00684489"/>
    <w:rsid w:val="006C1371"/>
    <w:rsid w:val="006C4E8D"/>
    <w:rsid w:val="006D5666"/>
    <w:rsid w:val="006E1E10"/>
    <w:rsid w:val="00730892"/>
    <w:rsid w:val="007420D9"/>
    <w:rsid w:val="00743FAD"/>
    <w:rsid w:val="00753329"/>
    <w:rsid w:val="00755E63"/>
    <w:rsid w:val="00766EAC"/>
    <w:rsid w:val="00771BC1"/>
    <w:rsid w:val="007900BA"/>
    <w:rsid w:val="007A5111"/>
    <w:rsid w:val="007A760F"/>
    <w:rsid w:val="007C53BA"/>
    <w:rsid w:val="007C7603"/>
    <w:rsid w:val="007E63F8"/>
    <w:rsid w:val="007F116A"/>
    <w:rsid w:val="00801CD3"/>
    <w:rsid w:val="00803395"/>
    <w:rsid w:val="00807145"/>
    <w:rsid w:val="008113BF"/>
    <w:rsid w:val="00816838"/>
    <w:rsid w:val="008368F7"/>
    <w:rsid w:val="0084497E"/>
    <w:rsid w:val="00854F5B"/>
    <w:rsid w:val="008627D4"/>
    <w:rsid w:val="00876C2B"/>
    <w:rsid w:val="00881DF4"/>
    <w:rsid w:val="008B04F0"/>
    <w:rsid w:val="008C55CB"/>
    <w:rsid w:val="008D53ED"/>
    <w:rsid w:val="008F028B"/>
    <w:rsid w:val="008F1FB3"/>
    <w:rsid w:val="008F5D57"/>
    <w:rsid w:val="00921900"/>
    <w:rsid w:val="00923479"/>
    <w:rsid w:val="00963A7E"/>
    <w:rsid w:val="00973937"/>
    <w:rsid w:val="00996C75"/>
    <w:rsid w:val="009A2ACB"/>
    <w:rsid w:val="009B56D6"/>
    <w:rsid w:val="009B7009"/>
    <w:rsid w:val="009E205A"/>
    <w:rsid w:val="009E44F4"/>
    <w:rsid w:val="009F2048"/>
    <w:rsid w:val="00A03B40"/>
    <w:rsid w:val="00A21EE9"/>
    <w:rsid w:val="00A54F76"/>
    <w:rsid w:val="00A61A89"/>
    <w:rsid w:val="00A629CF"/>
    <w:rsid w:val="00AA21D1"/>
    <w:rsid w:val="00AB3288"/>
    <w:rsid w:val="00AB4ACA"/>
    <w:rsid w:val="00AC2CBE"/>
    <w:rsid w:val="00AC387D"/>
    <w:rsid w:val="00AC4F2F"/>
    <w:rsid w:val="00AC78F9"/>
    <w:rsid w:val="00AD2BB0"/>
    <w:rsid w:val="00AD433F"/>
    <w:rsid w:val="00AE2088"/>
    <w:rsid w:val="00AE39B0"/>
    <w:rsid w:val="00B053C9"/>
    <w:rsid w:val="00B11402"/>
    <w:rsid w:val="00B16518"/>
    <w:rsid w:val="00B35A37"/>
    <w:rsid w:val="00B35AC3"/>
    <w:rsid w:val="00B807EC"/>
    <w:rsid w:val="00B81472"/>
    <w:rsid w:val="00BD1878"/>
    <w:rsid w:val="00BD4580"/>
    <w:rsid w:val="00BF55EA"/>
    <w:rsid w:val="00C103DE"/>
    <w:rsid w:val="00C134CD"/>
    <w:rsid w:val="00C16AA1"/>
    <w:rsid w:val="00C17DCF"/>
    <w:rsid w:val="00C20B29"/>
    <w:rsid w:val="00C7159A"/>
    <w:rsid w:val="00C90340"/>
    <w:rsid w:val="00CA4D00"/>
    <w:rsid w:val="00CB198A"/>
    <w:rsid w:val="00CF2883"/>
    <w:rsid w:val="00D225A7"/>
    <w:rsid w:val="00D31A45"/>
    <w:rsid w:val="00D35B26"/>
    <w:rsid w:val="00D45B00"/>
    <w:rsid w:val="00D73BB1"/>
    <w:rsid w:val="00D84FBE"/>
    <w:rsid w:val="00DB611C"/>
    <w:rsid w:val="00DF3889"/>
    <w:rsid w:val="00E0011A"/>
    <w:rsid w:val="00E01220"/>
    <w:rsid w:val="00E16F0D"/>
    <w:rsid w:val="00E31FA7"/>
    <w:rsid w:val="00E42CAC"/>
    <w:rsid w:val="00E45A2C"/>
    <w:rsid w:val="00E50BD2"/>
    <w:rsid w:val="00E5544B"/>
    <w:rsid w:val="00E62A1F"/>
    <w:rsid w:val="00E71F03"/>
    <w:rsid w:val="00E74859"/>
    <w:rsid w:val="00E80209"/>
    <w:rsid w:val="00E8378A"/>
    <w:rsid w:val="00EA50A4"/>
    <w:rsid w:val="00EB57BA"/>
    <w:rsid w:val="00F00790"/>
    <w:rsid w:val="00F029A9"/>
    <w:rsid w:val="00F12573"/>
    <w:rsid w:val="00F1273D"/>
    <w:rsid w:val="00F15C99"/>
    <w:rsid w:val="00F16859"/>
    <w:rsid w:val="00F27BD9"/>
    <w:rsid w:val="00F4099E"/>
    <w:rsid w:val="00F70078"/>
    <w:rsid w:val="00FA3CD2"/>
    <w:rsid w:val="00FB1032"/>
    <w:rsid w:val="00FB11C3"/>
    <w:rsid w:val="00FC4BB2"/>
    <w:rsid w:val="00FD01DF"/>
    <w:rsid w:val="00FD657F"/>
    <w:rsid w:val="00FF3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4A7"/>
    <w:pPr>
      <w:spacing w:before="0" w:after="0" w:line="240" w:lineRule="auto"/>
      <w:ind w:firstLine="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674A7"/>
    <w:pPr>
      <w:ind w:left="360" w:firstLine="1080"/>
      <w:jc w:val="both"/>
    </w:pPr>
    <w:rPr>
      <w:sz w:val="28"/>
      <w:szCs w:val="20"/>
    </w:rPr>
  </w:style>
  <w:style w:type="character" w:customStyle="1" w:styleId="BodyTextIndentChar">
    <w:name w:val="Body Text Indent Char"/>
    <w:basedOn w:val="DefaultParagraphFont"/>
    <w:link w:val="BodyTextIndent"/>
    <w:rsid w:val="001674A7"/>
    <w:rPr>
      <w:rFonts w:eastAsia="Times New Roman" w:cs="Times New Roman"/>
      <w:szCs w:val="20"/>
    </w:rPr>
  </w:style>
  <w:style w:type="paragraph" w:styleId="Header">
    <w:name w:val="header"/>
    <w:basedOn w:val="Normal"/>
    <w:link w:val="HeaderChar"/>
    <w:uiPriority w:val="99"/>
    <w:unhideWhenUsed/>
    <w:rsid w:val="00324980"/>
    <w:pPr>
      <w:tabs>
        <w:tab w:val="center" w:pos="4680"/>
        <w:tab w:val="right" w:pos="9360"/>
      </w:tabs>
    </w:pPr>
  </w:style>
  <w:style w:type="character" w:customStyle="1" w:styleId="HeaderChar">
    <w:name w:val="Header Char"/>
    <w:basedOn w:val="DefaultParagraphFont"/>
    <w:link w:val="Header"/>
    <w:uiPriority w:val="99"/>
    <w:rsid w:val="00324980"/>
    <w:rPr>
      <w:rFonts w:eastAsia="Times New Roman" w:cs="Times New Roman"/>
      <w:sz w:val="24"/>
      <w:szCs w:val="24"/>
    </w:rPr>
  </w:style>
  <w:style w:type="paragraph" w:styleId="Footer">
    <w:name w:val="footer"/>
    <w:basedOn w:val="Normal"/>
    <w:link w:val="FooterChar"/>
    <w:uiPriority w:val="99"/>
    <w:unhideWhenUsed/>
    <w:rsid w:val="00324980"/>
    <w:pPr>
      <w:tabs>
        <w:tab w:val="center" w:pos="4680"/>
        <w:tab w:val="right" w:pos="9360"/>
      </w:tabs>
    </w:pPr>
  </w:style>
  <w:style w:type="character" w:customStyle="1" w:styleId="FooterChar">
    <w:name w:val="Footer Char"/>
    <w:basedOn w:val="DefaultParagraphFont"/>
    <w:link w:val="Footer"/>
    <w:uiPriority w:val="99"/>
    <w:rsid w:val="00324980"/>
    <w:rPr>
      <w:rFonts w:eastAsia="Times New Roman" w:cs="Times New Roman"/>
      <w:sz w:val="24"/>
      <w:szCs w:val="24"/>
    </w:rPr>
  </w:style>
  <w:style w:type="paragraph" w:styleId="BalloonText">
    <w:name w:val="Balloon Text"/>
    <w:basedOn w:val="Normal"/>
    <w:link w:val="BalloonTextChar"/>
    <w:uiPriority w:val="99"/>
    <w:semiHidden/>
    <w:unhideWhenUsed/>
    <w:rsid w:val="00BD1878"/>
    <w:rPr>
      <w:rFonts w:ascii="Tahoma" w:hAnsi="Tahoma" w:cs="Tahoma"/>
      <w:sz w:val="16"/>
      <w:szCs w:val="16"/>
    </w:rPr>
  </w:style>
  <w:style w:type="character" w:customStyle="1" w:styleId="BalloonTextChar">
    <w:name w:val="Balloon Text Char"/>
    <w:basedOn w:val="DefaultParagraphFont"/>
    <w:link w:val="BalloonText"/>
    <w:uiPriority w:val="99"/>
    <w:semiHidden/>
    <w:rsid w:val="00BD18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4A7"/>
    <w:pPr>
      <w:spacing w:before="0" w:after="0" w:line="240" w:lineRule="auto"/>
      <w:ind w:firstLine="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674A7"/>
    <w:pPr>
      <w:ind w:left="360" w:firstLine="1080"/>
      <w:jc w:val="both"/>
    </w:pPr>
    <w:rPr>
      <w:sz w:val="28"/>
      <w:szCs w:val="20"/>
    </w:rPr>
  </w:style>
  <w:style w:type="character" w:customStyle="1" w:styleId="BodyTextIndentChar">
    <w:name w:val="Body Text Indent Char"/>
    <w:basedOn w:val="DefaultParagraphFont"/>
    <w:link w:val="BodyTextIndent"/>
    <w:rsid w:val="001674A7"/>
    <w:rPr>
      <w:rFonts w:eastAsia="Times New Roman" w:cs="Times New Roman"/>
      <w:szCs w:val="20"/>
    </w:rPr>
  </w:style>
  <w:style w:type="paragraph" w:styleId="Header">
    <w:name w:val="header"/>
    <w:basedOn w:val="Normal"/>
    <w:link w:val="HeaderChar"/>
    <w:uiPriority w:val="99"/>
    <w:unhideWhenUsed/>
    <w:rsid w:val="00324980"/>
    <w:pPr>
      <w:tabs>
        <w:tab w:val="center" w:pos="4680"/>
        <w:tab w:val="right" w:pos="9360"/>
      </w:tabs>
    </w:pPr>
  </w:style>
  <w:style w:type="character" w:customStyle="1" w:styleId="HeaderChar">
    <w:name w:val="Header Char"/>
    <w:basedOn w:val="DefaultParagraphFont"/>
    <w:link w:val="Header"/>
    <w:uiPriority w:val="99"/>
    <w:rsid w:val="00324980"/>
    <w:rPr>
      <w:rFonts w:eastAsia="Times New Roman" w:cs="Times New Roman"/>
      <w:sz w:val="24"/>
      <w:szCs w:val="24"/>
    </w:rPr>
  </w:style>
  <w:style w:type="paragraph" w:styleId="Footer">
    <w:name w:val="footer"/>
    <w:basedOn w:val="Normal"/>
    <w:link w:val="FooterChar"/>
    <w:uiPriority w:val="99"/>
    <w:unhideWhenUsed/>
    <w:rsid w:val="00324980"/>
    <w:pPr>
      <w:tabs>
        <w:tab w:val="center" w:pos="4680"/>
        <w:tab w:val="right" w:pos="9360"/>
      </w:tabs>
    </w:pPr>
  </w:style>
  <w:style w:type="character" w:customStyle="1" w:styleId="FooterChar">
    <w:name w:val="Footer Char"/>
    <w:basedOn w:val="DefaultParagraphFont"/>
    <w:link w:val="Footer"/>
    <w:uiPriority w:val="99"/>
    <w:rsid w:val="00324980"/>
    <w:rPr>
      <w:rFonts w:eastAsia="Times New Roman" w:cs="Times New Roman"/>
      <w:sz w:val="24"/>
      <w:szCs w:val="24"/>
    </w:rPr>
  </w:style>
  <w:style w:type="paragraph" w:styleId="BalloonText">
    <w:name w:val="Balloon Text"/>
    <w:basedOn w:val="Normal"/>
    <w:link w:val="BalloonTextChar"/>
    <w:uiPriority w:val="99"/>
    <w:semiHidden/>
    <w:unhideWhenUsed/>
    <w:rsid w:val="00BD1878"/>
    <w:rPr>
      <w:rFonts w:ascii="Tahoma" w:hAnsi="Tahoma" w:cs="Tahoma"/>
      <w:sz w:val="16"/>
      <w:szCs w:val="16"/>
    </w:rPr>
  </w:style>
  <w:style w:type="character" w:customStyle="1" w:styleId="BalloonTextChar">
    <w:name w:val="Balloon Text Char"/>
    <w:basedOn w:val="DefaultParagraphFont"/>
    <w:link w:val="BalloonText"/>
    <w:uiPriority w:val="99"/>
    <w:semiHidden/>
    <w:rsid w:val="00BD18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luong minh tu</dc:creator>
  <cp:lastModifiedBy>A</cp:lastModifiedBy>
  <cp:revision>2</cp:revision>
  <cp:lastPrinted>2018-12-07T01:25:00Z</cp:lastPrinted>
  <dcterms:created xsi:type="dcterms:W3CDTF">2018-12-13T09:46:00Z</dcterms:created>
  <dcterms:modified xsi:type="dcterms:W3CDTF">2018-12-13T09:46:00Z</dcterms:modified>
</cp:coreProperties>
</file>